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39E11">
      <w:pPr>
        <w:rPr>
          <w:rFonts w:hint="eastAsia" w:ascii="黑体" w:hAnsi="黑体" w:eastAsia="黑体"/>
          <w:sz w:val="32"/>
          <w:szCs w:val="32"/>
        </w:rPr>
      </w:pPr>
    </w:p>
    <w:p w14:paraId="6973CCD6">
      <w:pPr>
        <w:jc w:val="center"/>
        <w:rPr>
          <w:rFonts w:hint="eastAsia" w:ascii="方正小标宋_GBK" w:hAnsi="宋体" w:eastAsia="方正小标宋_GBK"/>
          <w:sz w:val="44"/>
          <w:szCs w:val="44"/>
        </w:rPr>
      </w:pPr>
    </w:p>
    <w:p w14:paraId="1A8625B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中共木垒哈萨克自治县委员会办公室</w:t>
      </w:r>
    </w:p>
    <w:p w14:paraId="27613CD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5866C9E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A5CBB05">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27FA4AE">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05DD766A">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C1473C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7A9BC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5B56C1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BFF6E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14EDD5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98D9C9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8BCDB6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0396E4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649A48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239314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72506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26AD6D2">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7C0146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EDB6C4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2D6278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CB82FC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10EB4A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C361C4D">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2E88C8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E6375E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8AFD3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6C64C1B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069634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61258C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8E3EC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AFCBA9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C8FF13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9260FE5">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43C8528">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0CD1583">
      <w:r>
        <w:rPr>
          <w:rFonts w:hint="eastAsia" w:ascii="仿宋_GB2312" w:hAnsi="仿宋_GB2312" w:eastAsia="仿宋_GB2312" w:cs="仿宋_GB2312"/>
          <w:sz w:val="32"/>
          <w:szCs w:val="32"/>
        </w:rPr>
        <w:fldChar w:fldCharType="end"/>
      </w:r>
    </w:p>
    <w:p w14:paraId="06BF3575">
      <w:pPr>
        <w:rPr>
          <w:rFonts w:ascii="仿宋_GB2312" w:eastAsia="仿宋_GB2312"/>
          <w:sz w:val="32"/>
          <w:szCs w:val="32"/>
        </w:rPr>
      </w:pPr>
      <w:r>
        <w:rPr>
          <w:rFonts w:hint="eastAsia" w:ascii="仿宋_GB2312" w:eastAsia="仿宋_GB2312"/>
          <w:sz w:val="32"/>
          <w:szCs w:val="32"/>
        </w:rPr>
        <w:br w:type="page"/>
      </w:r>
    </w:p>
    <w:p w14:paraId="70728E83">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5D21C97">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189FC75E">
      <w:pPr>
        <w:ind w:firstLine="640" w:firstLineChars="200"/>
        <w:jc w:val="left"/>
        <w:rPr>
          <w:rFonts w:ascii="仿宋_GB2312" w:eastAsia="仿宋_GB2312"/>
          <w:sz w:val="32"/>
          <w:szCs w:val="32"/>
        </w:rPr>
      </w:pPr>
      <w:r>
        <w:rPr>
          <w:rFonts w:hint="eastAsia" w:ascii="仿宋_GB2312" w:eastAsia="仿宋_GB2312"/>
          <w:sz w:val="32"/>
          <w:szCs w:val="32"/>
        </w:rPr>
        <w:t>中共木垒哈萨克自治县委员会办公室在县委领导下，负责推动以习近平同志为核心的党中央治疆方略、自治区党委和市委决策部署以及区委工作要求的贯彻落实，按照区委要求协调有关方面开展工作，承担区委和区委办公室文件、文稿的起草、修改、校核、翻译、印发和日常文书处理工作。负责对县委工作部署贯彻落实情况的督促检查；负责县委领导同志批示、指示的催办、查办工作。负责县委的信息工作。负责县委各种会议的会务工作和县委领导同志参加重大活动的组织安排；承办县委交办的其他工作，在履行职责过程中坚持和加强党的集中统一领导。</w:t>
      </w:r>
    </w:p>
    <w:p w14:paraId="44B01406">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1FD10D5">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中共木垒哈萨克自治县委员会办公室2023年度，实有人数</w:t>
      </w:r>
      <w:r>
        <w:rPr>
          <w:rFonts w:hint="eastAsia" w:ascii="仿宋_GB2312" w:eastAsia="仿宋_GB2312"/>
          <w:sz w:val="32"/>
          <w:szCs w:val="32"/>
          <w:lang w:val="zh-CN"/>
        </w:rPr>
        <w:t>81</w:t>
      </w:r>
      <w:r>
        <w:rPr>
          <w:rFonts w:hint="eastAsia" w:ascii="仿宋_GB2312" w:eastAsia="仿宋_GB2312"/>
          <w:sz w:val="32"/>
          <w:szCs w:val="32"/>
        </w:rPr>
        <w:t>人，其中：在职人员</w:t>
      </w:r>
      <w:r>
        <w:rPr>
          <w:rFonts w:hint="eastAsia" w:ascii="仿宋_GB2312" w:eastAsia="仿宋_GB2312"/>
          <w:sz w:val="32"/>
          <w:szCs w:val="32"/>
          <w:lang w:val="zh-CN"/>
        </w:rPr>
        <w:t>63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18</w:t>
      </w:r>
      <w:r>
        <w:rPr>
          <w:rFonts w:hint="eastAsia" w:ascii="仿宋_GB2312" w:eastAsia="仿宋_GB2312"/>
          <w:sz w:val="32"/>
          <w:szCs w:val="32"/>
        </w:rPr>
        <w:t>人。</w:t>
      </w:r>
    </w:p>
    <w:p w14:paraId="74D9B93E">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个处室，分别是：办公室</w:t>
      </w:r>
      <w:r>
        <w:rPr>
          <w:rFonts w:hint="eastAsia" w:ascii="仿宋_GB2312" w:hAnsi="宋体" w:eastAsia="仿宋_GB2312" w:cs="宋体"/>
          <w:kern w:val="0"/>
          <w:sz w:val="32"/>
          <w:szCs w:val="32"/>
        </w:rPr>
        <w:t>。</w:t>
      </w:r>
    </w:p>
    <w:p w14:paraId="2338211B">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3B5ACA5F">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251275E1">
      <w:pPr>
        <w:ind w:firstLine="640" w:firstLineChars="200"/>
        <w:jc w:val="left"/>
        <w:rPr>
          <w:rFonts w:ascii="仿宋_GB2312" w:eastAsia="仿宋_GB2312"/>
          <w:sz w:val="32"/>
          <w:szCs w:val="32"/>
        </w:rPr>
      </w:pPr>
      <w:r>
        <w:rPr>
          <w:rFonts w:hint="eastAsia" w:ascii="仿宋_GB2312" w:eastAsia="仿宋_GB2312"/>
          <w:sz w:val="32"/>
          <w:szCs w:val="32"/>
        </w:rPr>
        <w:t>2023年度收入总计1,665.95万元，其中：本年收入合计1,665.95万元，使用非财政拨款结余0.00万元，年初结转和结余0.00万元。</w:t>
      </w:r>
    </w:p>
    <w:p w14:paraId="50410AA2">
      <w:pPr>
        <w:ind w:firstLine="640" w:firstLineChars="200"/>
        <w:jc w:val="left"/>
        <w:rPr>
          <w:rFonts w:ascii="仿宋_GB2312" w:eastAsia="仿宋_GB2312"/>
          <w:sz w:val="32"/>
          <w:szCs w:val="32"/>
        </w:rPr>
      </w:pPr>
      <w:r>
        <w:rPr>
          <w:rFonts w:hint="eastAsia" w:ascii="仿宋_GB2312" w:eastAsia="仿宋_GB2312"/>
          <w:sz w:val="32"/>
          <w:szCs w:val="32"/>
        </w:rPr>
        <w:t>2023年度支出总计1,665.95万元，其中：本年支出合计1,665.95万元，结余分配0.00万元，年末结转和结余0.00万元。</w:t>
      </w:r>
    </w:p>
    <w:p w14:paraId="6A41D725">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增加30.91万元</w:t>
      </w:r>
      <w:r>
        <w:rPr>
          <w:rFonts w:hint="eastAsia" w:ascii="仿宋_GB2312" w:eastAsia="仿宋_GB2312"/>
          <w:sz w:val="32"/>
          <w:szCs w:val="32"/>
        </w:rPr>
        <w:t>，增长1.89%，主要原因是：单位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人员增加，工资、津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人员经费增加。</w:t>
      </w:r>
    </w:p>
    <w:p w14:paraId="7AE78EAA">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20590300">
      <w:pPr>
        <w:ind w:firstLine="640" w:firstLineChars="200"/>
        <w:jc w:val="left"/>
        <w:rPr>
          <w:rFonts w:ascii="仿宋_GB2312" w:eastAsia="仿宋_GB2312"/>
          <w:sz w:val="32"/>
          <w:szCs w:val="32"/>
        </w:rPr>
      </w:pPr>
      <w:r>
        <w:rPr>
          <w:rFonts w:hint="eastAsia" w:ascii="仿宋_GB2312" w:eastAsia="仿宋_GB2312"/>
          <w:sz w:val="32"/>
          <w:szCs w:val="32"/>
        </w:rPr>
        <w:t>本年收入1,665.95万元，其中：财政拨款收入</w:t>
      </w:r>
      <w:r>
        <w:rPr>
          <w:rFonts w:hint="eastAsia" w:ascii="仿宋_GB2312" w:eastAsia="仿宋_GB2312"/>
          <w:sz w:val="32"/>
          <w:szCs w:val="32"/>
          <w:lang w:val="zh-CN"/>
        </w:rPr>
        <w:t>1,665.95</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11D4D891">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2D84E3AE">
      <w:pPr>
        <w:ind w:firstLine="640" w:firstLineChars="200"/>
        <w:jc w:val="left"/>
        <w:rPr>
          <w:rFonts w:ascii="仿宋_GB2312" w:eastAsia="仿宋_GB2312" w:cs="仿宋_GB2312"/>
          <w:sz w:val="30"/>
          <w:szCs w:val="30"/>
          <w:lang w:val="zh-CN"/>
        </w:rPr>
      </w:pPr>
      <w:r>
        <w:rPr>
          <w:rFonts w:hint="eastAsia" w:ascii="仿宋_GB2312" w:eastAsia="仿宋_GB2312" w:cs="仿宋_GB2312"/>
          <w:sz w:val="32"/>
          <w:szCs w:val="32"/>
          <w:lang w:val="zh-CN"/>
        </w:rPr>
        <w:t>本年支出1,665.95万元，其中：基本支出1,405.47万元，占84.36%；项目支出260.48万元，占15.64%；上缴上级支出0.00万元，占0.00%；经营支出0.00万元，占0.00%；对附属单位补助支出0.00万元，占0.00%。</w:t>
      </w:r>
    </w:p>
    <w:p w14:paraId="5E1F5C1B">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41D661A">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1,665.95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1,665.95</w:t>
      </w:r>
      <w:r>
        <w:rPr>
          <w:rFonts w:hint="eastAsia" w:ascii="仿宋_GB2312" w:eastAsia="仿宋_GB2312"/>
          <w:sz w:val="32"/>
          <w:szCs w:val="32"/>
        </w:rPr>
        <w:t>万元。财政拨款支出总计</w:t>
      </w:r>
      <w:r>
        <w:rPr>
          <w:rFonts w:hint="eastAsia" w:ascii="仿宋_GB2312" w:eastAsia="仿宋_GB2312"/>
          <w:sz w:val="32"/>
          <w:szCs w:val="32"/>
          <w:lang w:val="zh-CN"/>
        </w:rPr>
        <w:t>1,665.95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1,665.95</w:t>
      </w:r>
      <w:r>
        <w:rPr>
          <w:rFonts w:hint="eastAsia" w:ascii="仿宋_GB2312" w:eastAsia="仿宋_GB2312"/>
          <w:sz w:val="32"/>
          <w:szCs w:val="32"/>
        </w:rPr>
        <w:t>万元。</w:t>
      </w:r>
    </w:p>
    <w:p w14:paraId="26E2DBAC">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增加30.91万元</w:t>
      </w:r>
      <w:r>
        <w:rPr>
          <w:rFonts w:hint="eastAsia" w:ascii="仿宋_GB2312" w:eastAsia="仿宋_GB2312"/>
          <w:sz w:val="32"/>
          <w:szCs w:val="32"/>
        </w:rPr>
        <w:t>，增长1.89%,主要原因是：单位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人员增加，工资、津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人员经费增加。与年初预算相比，年初预算数</w:t>
      </w:r>
      <w:r>
        <w:rPr>
          <w:rFonts w:hint="eastAsia" w:ascii="仿宋_GB2312" w:eastAsia="仿宋_GB2312"/>
          <w:sz w:val="32"/>
          <w:szCs w:val="32"/>
          <w:lang w:val="zh-CN"/>
        </w:rPr>
        <w:t>1,361.96</w:t>
      </w:r>
      <w:r>
        <w:rPr>
          <w:rFonts w:hint="eastAsia" w:ascii="仿宋_GB2312" w:eastAsia="仿宋_GB2312"/>
          <w:sz w:val="32"/>
          <w:szCs w:val="32"/>
        </w:rPr>
        <w:t>万元，决算数</w:t>
      </w:r>
      <w:r>
        <w:rPr>
          <w:rFonts w:hint="eastAsia" w:ascii="仿宋_GB2312" w:eastAsia="仿宋_GB2312"/>
          <w:sz w:val="32"/>
          <w:szCs w:val="32"/>
          <w:lang w:val="zh-CN"/>
        </w:rPr>
        <w:t>1,665.95</w:t>
      </w:r>
      <w:r>
        <w:rPr>
          <w:rFonts w:hint="eastAsia" w:ascii="仿宋_GB2312" w:eastAsia="仿宋_GB2312"/>
          <w:sz w:val="32"/>
          <w:szCs w:val="32"/>
        </w:rPr>
        <w:t>万元，预决算差异率22.32%，主要原因是：单位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人员增加，年中追加工资、津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w:t>
      </w:r>
      <w:r>
        <w:rPr>
          <w:rFonts w:hint="eastAsia" w:ascii="仿宋_GB2312" w:eastAsia="仿宋_GB2312"/>
          <w:sz w:val="32"/>
          <w:szCs w:val="32"/>
          <w:lang w:eastAsia="zh-CN"/>
        </w:rPr>
        <w:t>；</w:t>
      </w:r>
      <w:r>
        <w:rPr>
          <w:rFonts w:hint="eastAsia" w:ascii="仿宋_GB2312" w:eastAsia="仿宋_GB2312"/>
          <w:sz w:val="32"/>
          <w:szCs w:val="32"/>
          <w:lang w:val="en-US" w:eastAsia="zh-CN"/>
        </w:rPr>
        <w:t>年中追加</w:t>
      </w:r>
      <w:r>
        <w:rPr>
          <w:rFonts w:hint="eastAsia" w:ascii="仿宋_GB2312" w:eastAsia="仿宋_GB2312"/>
          <w:sz w:val="32"/>
          <w:szCs w:val="32"/>
          <w:lang w:val="zh-CN"/>
        </w:rPr>
        <w:t>妇女儿童工作经费、第十五次代表大会</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w:t>
      </w:r>
    </w:p>
    <w:p w14:paraId="6812226F">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ABFEB1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FA9D6D9">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2023年度一般公共预算财政拨款支出1,665.95万元，占本年支出合计的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增加30.91万元</w:t>
      </w:r>
      <w:r>
        <w:rPr>
          <w:rFonts w:hint="eastAsia" w:ascii="仿宋_GB2312" w:eastAsia="仿宋_GB2312"/>
          <w:sz w:val="32"/>
          <w:szCs w:val="32"/>
        </w:rPr>
        <w:t>，增长1.89%,主要原因是：单位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人员增加，工资、津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人员经费增加。与年初预算相比，年初预算数</w:t>
      </w:r>
      <w:r>
        <w:rPr>
          <w:rFonts w:hint="eastAsia" w:ascii="仿宋_GB2312" w:eastAsia="仿宋_GB2312"/>
          <w:sz w:val="32"/>
          <w:szCs w:val="32"/>
          <w:lang w:val="zh-CN"/>
        </w:rPr>
        <w:t>1,361.96</w:t>
      </w:r>
      <w:r>
        <w:rPr>
          <w:rFonts w:hint="eastAsia" w:ascii="仿宋_GB2312" w:eastAsia="仿宋_GB2312"/>
          <w:sz w:val="32"/>
          <w:szCs w:val="32"/>
        </w:rPr>
        <w:t>万元，决算数</w:t>
      </w:r>
      <w:r>
        <w:rPr>
          <w:rFonts w:hint="eastAsia" w:ascii="仿宋_GB2312" w:eastAsia="仿宋_GB2312"/>
          <w:sz w:val="32"/>
          <w:szCs w:val="32"/>
          <w:lang w:val="zh-CN"/>
        </w:rPr>
        <w:t>1,665.95</w:t>
      </w:r>
      <w:r>
        <w:rPr>
          <w:rFonts w:hint="eastAsia" w:ascii="仿宋_GB2312" w:eastAsia="仿宋_GB2312"/>
          <w:sz w:val="32"/>
          <w:szCs w:val="32"/>
        </w:rPr>
        <w:t>万元，预决算差异率</w:t>
      </w:r>
      <w:r>
        <w:rPr>
          <w:rFonts w:hint="eastAsia" w:ascii="仿宋_GB2312" w:eastAsia="仿宋_GB2312"/>
          <w:sz w:val="32"/>
          <w:szCs w:val="32"/>
          <w:lang w:val="zh-CN"/>
        </w:rPr>
        <w:t>22.32%</w:t>
      </w:r>
      <w:r>
        <w:rPr>
          <w:rFonts w:hint="eastAsia" w:ascii="仿宋_GB2312" w:eastAsia="仿宋_GB2312"/>
          <w:sz w:val="32"/>
          <w:szCs w:val="32"/>
        </w:rPr>
        <w:t>，主要原因是：单位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人员增加，年中追加工资、津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w:t>
      </w:r>
      <w:r>
        <w:rPr>
          <w:rFonts w:hint="eastAsia" w:ascii="仿宋_GB2312" w:eastAsia="仿宋_GB2312"/>
          <w:sz w:val="32"/>
          <w:szCs w:val="32"/>
          <w:lang w:eastAsia="zh-CN"/>
        </w:rPr>
        <w:t>；</w:t>
      </w:r>
      <w:r>
        <w:rPr>
          <w:rFonts w:hint="eastAsia" w:ascii="仿宋_GB2312" w:eastAsia="仿宋_GB2312"/>
          <w:sz w:val="32"/>
          <w:szCs w:val="32"/>
          <w:lang w:val="en-US" w:eastAsia="zh-CN"/>
        </w:rPr>
        <w:t>年中追加</w:t>
      </w:r>
      <w:r>
        <w:rPr>
          <w:rFonts w:hint="eastAsia" w:ascii="仿宋_GB2312" w:eastAsia="仿宋_GB2312"/>
          <w:sz w:val="32"/>
          <w:szCs w:val="32"/>
          <w:lang w:val="zh-CN"/>
        </w:rPr>
        <w:t>妇女儿童工作经费、第十五次代表大会</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w:t>
      </w:r>
    </w:p>
    <w:p w14:paraId="41A41D58">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006A2FE">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1,432.55</w:t>
      </w:r>
      <w:r>
        <w:rPr>
          <w:rFonts w:ascii="仿宋_GB2312" w:eastAsia="仿宋_GB2312"/>
          <w:kern w:val="2"/>
          <w:sz w:val="32"/>
          <w:szCs w:val="32"/>
          <w:lang w:val="zh-CN"/>
        </w:rPr>
        <w:t>万元，占</w:t>
      </w:r>
      <w:r>
        <w:rPr>
          <w:rFonts w:hint="eastAsia" w:ascii="仿宋_GB2312" w:eastAsia="仿宋_GB2312"/>
          <w:kern w:val="2"/>
          <w:sz w:val="32"/>
          <w:szCs w:val="32"/>
          <w:lang w:val="zh-CN"/>
        </w:rPr>
        <w:t>85.99</w:t>
      </w:r>
      <w:r>
        <w:rPr>
          <w:rFonts w:ascii="仿宋_GB2312" w:eastAsia="仿宋_GB2312"/>
          <w:kern w:val="2"/>
          <w:sz w:val="32"/>
          <w:szCs w:val="32"/>
          <w:lang w:val="zh-CN"/>
        </w:rPr>
        <w:t>%；</w:t>
      </w:r>
    </w:p>
    <w:p w14:paraId="29A7C4F0">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hint="eastAsia" w:ascii="仿宋_GB2312" w:eastAsia="仿宋_GB2312"/>
          <w:kern w:val="2"/>
          <w:sz w:val="32"/>
          <w:szCs w:val="32"/>
          <w:lang w:val="zh-CN"/>
        </w:rPr>
        <w:t>151.56</w:t>
      </w:r>
      <w:r>
        <w:rPr>
          <w:rFonts w:ascii="仿宋_GB2312" w:eastAsia="仿宋_GB2312"/>
          <w:kern w:val="2"/>
          <w:sz w:val="32"/>
          <w:szCs w:val="32"/>
          <w:lang w:val="zh-CN"/>
        </w:rPr>
        <w:t>万元，占</w:t>
      </w:r>
      <w:r>
        <w:rPr>
          <w:rFonts w:hint="eastAsia" w:ascii="仿宋_GB2312" w:eastAsia="仿宋_GB2312"/>
          <w:kern w:val="2"/>
          <w:sz w:val="32"/>
          <w:szCs w:val="32"/>
          <w:lang w:val="zh-CN"/>
        </w:rPr>
        <w:t>9.10</w:t>
      </w:r>
      <w:r>
        <w:rPr>
          <w:rFonts w:ascii="仿宋_GB2312" w:eastAsia="仿宋_GB2312"/>
          <w:kern w:val="2"/>
          <w:sz w:val="32"/>
          <w:szCs w:val="32"/>
          <w:lang w:val="zh-CN"/>
        </w:rPr>
        <w:t>%；</w:t>
      </w:r>
    </w:p>
    <w:p w14:paraId="243AFCC9">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76.84</w:t>
      </w:r>
      <w:r>
        <w:rPr>
          <w:rFonts w:ascii="仿宋_GB2312" w:eastAsia="仿宋_GB2312"/>
          <w:kern w:val="2"/>
          <w:sz w:val="32"/>
          <w:szCs w:val="32"/>
          <w:lang w:val="zh-CN"/>
        </w:rPr>
        <w:t>万元，占</w:t>
      </w:r>
      <w:r>
        <w:rPr>
          <w:rFonts w:hint="eastAsia" w:ascii="仿宋_GB2312" w:eastAsia="仿宋_GB2312"/>
          <w:kern w:val="2"/>
          <w:sz w:val="32"/>
          <w:szCs w:val="32"/>
          <w:lang w:val="zh-CN"/>
        </w:rPr>
        <w:t>4.61</w:t>
      </w:r>
      <w:r>
        <w:rPr>
          <w:rFonts w:ascii="仿宋_GB2312" w:eastAsia="仿宋_GB2312"/>
          <w:kern w:val="2"/>
          <w:sz w:val="32"/>
          <w:szCs w:val="32"/>
          <w:lang w:val="zh-CN"/>
        </w:rPr>
        <w:t>%；</w:t>
      </w:r>
    </w:p>
    <w:p w14:paraId="06007D72">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4.其他支出（类）</w:t>
      </w:r>
      <w:r>
        <w:rPr>
          <w:rFonts w:hint="eastAsia" w:ascii="仿宋_GB2312" w:eastAsia="仿宋_GB2312"/>
          <w:kern w:val="2"/>
          <w:sz w:val="32"/>
          <w:szCs w:val="32"/>
          <w:lang w:val="zh-CN"/>
        </w:rPr>
        <w:t>5.00</w:t>
      </w:r>
      <w:r>
        <w:rPr>
          <w:rFonts w:ascii="仿宋_GB2312" w:eastAsia="仿宋_GB2312"/>
          <w:kern w:val="2"/>
          <w:sz w:val="32"/>
          <w:szCs w:val="32"/>
          <w:lang w:val="zh-CN"/>
        </w:rPr>
        <w:t>万元，占</w:t>
      </w:r>
      <w:r>
        <w:rPr>
          <w:rFonts w:hint="eastAsia" w:ascii="仿宋_GB2312" w:eastAsia="仿宋_GB2312"/>
          <w:kern w:val="2"/>
          <w:sz w:val="32"/>
          <w:szCs w:val="32"/>
          <w:lang w:val="zh-CN"/>
        </w:rPr>
        <w:t>0.30</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5BD92A6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353C566F">
      <w:pPr>
        <w:ind w:firstLine="640" w:firstLineChars="200"/>
        <w:rPr>
          <w:rFonts w:ascii="仿宋_GB2312" w:eastAsia="仿宋_GB2312"/>
          <w:sz w:val="32"/>
          <w:szCs w:val="32"/>
          <w:lang w:val="zh-CN"/>
        </w:rPr>
      </w:pPr>
      <w:r>
        <w:rPr>
          <w:rFonts w:hint="eastAsia" w:ascii="仿宋_GB2312" w:eastAsia="仿宋_GB2312"/>
          <w:sz w:val="32"/>
          <w:szCs w:val="32"/>
        </w:rPr>
        <w:t>1.一般公共服务支出（类）群众团体事务（款）其他群众团体事务支出（项）:支出决算数为21.90万元，比上年决算增加13.70万元，增长167.07%，主要原因是：本年单位增加</w:t>
      </w:r>
      <w:r>
        <w:rPr>
          <w:rFonts w:hint="eastAsia" w:ascii="仿宋_GB2312" w:eastAsia="仿宋_GB2312"/>
          <w:sz w:val="32"/>
          <w:szCs w:val="32"/>
          <w:lang w:val="zh-CN"/>
        </w:rPr>
        <w:t>妇女儿童工作经费、第十五次代表大会经费。</w:t>
      </w:r>
    </w:p>
    <w:p w14:paraId="66CCAFD2">
      <w:pPr>
        <w:ind w:firstLine="640" w:firstLineChars="200"/>
        <w:rPr>
          <w:rFonts w:ascii="仿宋_GB2312" w:eastAsia="仿宋_GB2312"/>
          <w:sz w:val="32"/>
          <w:szCs w:val="32"/>
          <w:lang w:val="zh-CN"/>
        </w:rPr>
      </w:pPr>
      <w:r>
        <w:rPr>
          <w:rFonts w:hint="eastAsia" w:ascii="仿宋_GB2312" w:eastAsia="仿宋_GB2312"/>
          <w:sz w:val="32"/>
          <w:szCs w:val="32"/>
        </w:rPr>
        <w:t>2.一般公共服务支出（类）群众团体事务（款）一般行政管理事务（项）:支出决算数为66.59万元，比上年决算减少10.10万元，下降13.17%，主要原因是：本年单位减少</w:t>
      </w:r>
      <w:r>
        <w:rPr>
          <w:rFonts w:hint="eastAsia" w:ascii="仿宋_GB2312" w:eastAsia="仿宋_GB2312"/>
          <w:sz w:val="32"/>
          <w:szCs w:val="32"/>
          <w:lang w:val="zh-CN"/>
        </w:rPr>
        <w:t>大学生志愿服务西部计划中央补助资金。</w:t>
      </w:r>
    </w:p>
    <w:p w14:paraId="558200C7">
      <w:pPr>
        <w:ind w:firstLine="640" w:firstLineChars="200"/>
        <w:rPr>
          <w:rFonts w:ascii="仿宋_GB2312" w:eastAsia="仿宋_GB2312"/>
          <w:sz w:val="32"/>
          <w:szCs w:val="32"/>
          <w:lang w:val="zh-CN"/>
        </w:rPr>
      </w:pPr>
      <w:r>
        <w:rPr>
          <w:rFonts w:hint="eastAsia" w:ascii="仿宋_GB2312" w:eastAsia="仿宋_GB2312"/>
          <w:sz w:val="32"/>
          <w:szCs w:val="32"/>
        </w:rPr>
        <w:t>3.住房保障支出（类）住房改革支出（款）住房公积金（项）:支出决算数为76.84万元，比上年决算增加10.07万元，增长15.08%，主要原因是：单位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人员增加，人员公积金缴费增加</w:t>
      </w:r>
      <w:r>
        <w:rPr>
          <w:rFonts w:hint="eastAsia" w:ascii="仿宋_GB2312" w:eastAsia="仿宋_GB2312"/>
          <w:sz w:val="32"/>
          <w:szCs w:val="32"/>
          <w:lang w:val="zh-CN"/>
        </w:rPr>
        <w:t>。</w:t>
      </w:r>
    </w:p>
    <w:p w14:paraId="7764A4F0">
      <w:pPr>
        <w:ind w:firstLine="640" w:firstLineChars="200"/>
        <w:rPr>
          <w:rFonts w:ascii="仿宋_GB2312" w:eastAsia="仿宋_GB2312"/>
          <w:sz w:val="32"/>
          <w:szCs w:val="32"/>
          <w:lang w:val="zh-CN"/>
        </w:rPr>
      </w:pPr>
      <w:r>
        <w:rPr>
          <w:rFonts w:hint="eastAsia" w:ascii="仿宋_GB2312" w:eastAsia="仿宋_GB2312"/>
          <w:sz w:val="32"/>
          <w:szCs w:val="32"/>
        </w:rPr>
        <w:t>4.一般公共服务支出（类）党委办公厅（室）及相关机构事务（款）行政运行（项）:支出决算数为1,165.36万元，比上年决算减少211.09万元，下降15.34%，主要原因是：</w:t>
      </w:r>
      <w:r>
        <w:rPr>
          <w:rFonts w:hint="eastAsia" w:ascii="仿宋_GB2312" w:eastAsia="仿宋_GB2312"/>
          <w:sz w:val="32"/>
          <w:szCs w:val="32"/>
          <w:lang w:val="en-US" w:eastAsia="zh-CN"/>
        </w:rPr>
        <w:t>单位本年长聘人员工资福利费用较上年减少</w:t>
      </w:r>
      <w:r>
        <w:rPr>
          <w:rFonts w:hint="eastAsia" w:ascii="仿宋_GB2312" w:eastAsia="仿宋_GB2312"/>
          <w:sz w:val="32"/>
          <w:szCs w:val="32"/>
          <w:lang w:val="zh-CN"/>
        </w:rPr>
        <w:t>。</w:t>
      </w:r>
    </w:p>
    <w:p w14:paraId="6B187270">
      <w:pPr>
        <w:ind w:firstLine="640" w:firstLineChars="200"/>
        <w:rPr>
          <w:rFonts w:ascii="仿宋_GB2312" w:eastAsia="仿宋_GB2312"/>
          <w:sz w:val="32"/>
          <w:szCs w:val="32"/>
          <w:lang w:val="zh-CN"/>
        </w:rPr>
      </w:pPr>
      <w:r>
        <w:rPr>
          <w:rFonts w:hint="eastAsia" w:ascii="仿宋_GB2312" w:eastAsia="仿宋_GB2312"/>
          <w:sz w:val="32"/>
          <w:szCs w:val="32"/>
        </w:rPr>
        <w:t>5.社会保障和就业支出（类）抚恤（款）死亡抚恤（项）:支出决算数为36.26万元，比上年决算增加36.26万元，增长100%，主要原因是：单位本年人员丧葬费、抚恤金补助较上年增加</w:t>
      </w:r>
      <w:r>
        <w:rPr>
          <w:rFonts w:hint="eastAsia" w:ascii="仿宋_GB2312" w:eastAsia="仿宋_GB2312"/>
          <w:sz w:val="32"/>
          <w:szCs w:val="32"/>
          <w:lang w:val="zh-CN"/>
        </w:rPr>
        <w:t>。</w:t>
      </w:r>
    </w:p>
    <w:p w14:paraId="23EB1838">
      <w:pPr>
        <w:ind w:firstLine="640" w:firstLineChars="200"/>
        <w:rPr>
          <w:rFonts w:ascii="仿宋_GB2312" w:eastAsia="仿宋_GB2312"/>
          <w:sz w:val="32"/>
          <w:szCs w:val="32"/>
          <w:lang w:val="zh-CN"/>
        </w:rPr>
      </w:pPr>
      <w:r>
        <w:rPr>
          <w:rFonts w:hint="eastAsia" w:ascii="仿宋_GB2312" w:eastAsia="仿宋_GB2312"/>
          <w:sz w:val="32"/>
          <w:szCs w:val="32"/>
        </w:rPr>
        <w:t>6.一般公共服务支出（类）党委办公厅（室）及相关机构事务（款）其他党委办公厅（室）及相关机构事务支出（项）:支出决算数为178.69万元，比上年决算增加178.69万元，增长100%，主要原因是：本年增加</w:t>
      </w:r>
      <w:r>
        <w:rPr>
          <w:rFonts w:hint="eastAsia" w:ascii="仿宋_GB2312" w:eastAsia="仿宋_GB2312"/>
          <w:sz w:val="32"/>
          <w:szCs w:val="32"/>
          <w:lang w:val="zh-CN"/>
        </w:rPr>
        <w:t>信创工作经费、县委办公室采购办公设备及耗材项目</w:t>
      </w:r>
      <w:r>
        <w:rPr>
          <w:rFonts w:hint="eastAsia" w:ascii="仿宋_GB2312" w:eastAsia="仿宋_GB2312"/>
          <w:sz w:val="32"/>
          <w:szCs w:val="32"/>
          <w:lang w:val="en-US" w:eastAsia="zh-CN"/>
        </w:rPr>
        <w:t>经费</w:t>
      </w:r>
      <w:r>
        <w:rPr>
          <w:rFonts w:hint="eastAsia" w:ascii="仿宋_GB2312" w:eastAsia="仿宋_GB2312"/>
          <w:sz w:val="32"/>
          <w:szCs w:val="32"/>
          <w:lang w:val="zh-CN"/>
        </w:rPr>
        <w:t>。</w:t>
      </w:r>
    </w:p>
    <w:p w14:paraId="0D0CD49E">
      <w:pPr>
        <w:ind w:firstLine="640" w:firstLineChars="200"/>
        <w:rPr>
          <w:rFonts w:ascii="仿宋_GB2312" w:eastAsia="仿宋_GB2312"/>
          <w:sz w:val="32"/>
          <w:szCs w:val="32"/>
          <w:lang w:val="zh-CN"/>
        </w:rPr>
      </w:pPr>
      <w:r>
        <w:rPr>
          <w:rFonts w:hint="eastAsia" w:ascii="仿宋_GB2312" w:eastAsia="仿宋_GB2312"/>
          <w:sz w:val="32"/>
          <w:szCs w:val="32"/>
        </w:rPr>
        <w:t>7.社会保障和就业支出（类）行政事业单位养老支出（款）行政单位离退休（项）:支出决算数为5.83万元，比上年决算增加3.35万元，增长135.08%，主要原因是：单位退休人员增加，退休人员取暖费、独生子女奖励金等经费增加</w:t>
      </w:r>
      <w:r>
        <w:rPr>
          <w:rFonts w:hint="eastAsia" w:ascii="仿宋_GB2312" w:eastAsia="仿宋_GB2312"/>
          <w:sz w:val="32"/>
          <w:szCs w:val="32"/>
          <w:lang w:val="zh-CN"/>
        </w:rPr>
        <w:t>。</w:t>
      </w:r>
    </w:p>
    <w:p w14:paraId="404574AF">
      <w:pPr>
        <w:ind w:firstLine="640" w:firstLineChars="200"/>
        <w:rPr>
          <w:rFonts w:ascii="仿宋_GB2312" w:eastAsia="仿宋_GB2312"/>
          <w:sz w:val="32"/>
          <w:szCs w:val="32"/>
          <w:lang w:val="zh-CN"/>
        </w:rPr>
      </w:pPr>
      <w:r>
        <w:rPr>
          <w:rFonts w:hint="eastAsia" w:ascii="仿宋_GB2312" w:eastAsia="仿宋_GB2312"/>
          <w:sz w:val="32"/>
          <w:szCs w:val="32"/>
        </w:rPr>
        <w:t>8.社会保障和就业支出（类）行政事业单位养老支出（款）机关事业单位职业年金缴费支出（项）:支出决算数为12.60万元，比上年决算增加4.85万元，增长62.58%，主要原因是：单位退休人员增加，退休人员职业年金缴费增加</w:t>
      </w:r>
      <w:r>
        <w:rPr>
          <w:rFonts w:hint="eastAsia" w:ascii="仿宋_GB2312" w:eastAsia="仿宋_GB2312"/>
          <w:sz w:val="32"/>
          <w:szCs w:val="32"/>
          <w:lang w:val="zh-CN"/>
        </w:rPr>
        <w:t>。</w:t>
      </w:r>
    </w:p>
    <w:p w14:paraId="439A3BC2">
      <w:pPr>
        <w:ind w:firstLine="640" w:firstLineChars="200"/>
        <w:rPr>
          <w:rFonts w:ascii="仿宋_GB2312" w:eastAsia="仿宋_GB2312"/>
          <w:sz w:val="32"/>
          <w:szCs w:val="32"/>
          <w:lang w:val="zh-CN"/>
        </w:rPr>
      </w:pPr>
      <w:r>
        <w:rPr>
          <w:rFonts w:hint="eastAsia" w:ascii="仿宋_GB2312" w:eastAsia="仿宋_GB2312"/>
          <w:sz w:val="32"/>
          <w:szCs w:val="32"/>
        </w:rPr>
        <w:t>9.其他支出（类）其他支出（款）其他支出（项）:支出决算数为5.00万元，比上年决算减少6.97万元，下降58.23%，主要原因是：本年单位为民办实事工作经费较上年减少</w:t>
      </w:r>
      <w:r>
        <w:rPr>
          <w:rFonts w:hint="eastAsia" w:ascii="仿宋_GB2312" w:eastAsia="仿宋_GB2312"/>
          <w:sz w:val="32"/>
          <w:szCs w:val="32"/>
          <w:lang w:val="zh-CN"/>
        </w:rPr>
        <w:t>。</w:t>
      </w:r>
    </w:p>
    <w:p w14:paraId="0EF367AF">
      <w:pPr>
        <w:ind w:firstLine="640" w:firstLineChars="200"/>
        <w:rPr>
          <w:rFonts w:ascii="仿宋_GB2312" w:eastAsia="仿宋_GB2312"/>
          <w:sz w:val="32"/>
          <w:szCs w:val="32"/>
          <w:lang w:val="zh-CN"/>
        </w:rPr>
      </w:pPr>
      <w:r>
        <w:rPr>
          <w:rFonts w:hint="eastAsia" w:ascii="仿宋_GB2312" w:eastAsia="仿宋_GB2312"/>
          <w:sz w:val="32"/>
          <w:szCs w:val="32"/>
        </w:rPr>
        <w:t>10.社会保障和就业支出（类）行政事业单位养老支出（款）机关事业单位基本养老保险缴费支出（项）:支出决算数为96.87万元，比上年决算增加12.16万元，增长14.35%，主要原因是：单位人员增加，人员养老保险缴费增加</w:t>
      </w:r>
      <w:r>
        <w:rPr>
          <w:rFonts w:hint="eastAsia" w:ascii="仿宋_GB2312" w:eastAsia="仿宋_GB2312"/>
          <w:sz w:val="32"/>
          <w:szCs w:val="32"/>
          <w:lang w:val="zh-CN"/>
        </w:rPr>
        <w:t>。</w:t>
      </w:r>
    </w:p>
    <w:p w14:paraId="2ADD4EC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7234C6F">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1,405.47万元，其中：人员经费1,057.09万元，包括：基本工资、津贴补贴、奖金、机关事业单位基本养老保险缴费、职业年金缴费、职工基本医疗保险缴费、公务员医疗补助缴费、其他社会保障缴费、住房公积金、其他工资福利支出、退休费、抚恤金、奖励金、其他对个人和家庭的补助。</w:t>
      </w:r>
    </w:p>
    <w:p w14:paraId="7037FDA3">
      <w:pPr>
        <w:ind w:firstLine="640" w:firstLineChars="200"/>
        <w:jc w:val="left"/>
        <w:rPr>
          <w:rFonts w:ascii="仿宋_GB2312" w:eastAsia="仿宋_GB2312"/>
          <w:sz w:val="32"/>
          <w:szCs w:val="32"/>
        </w:rPr>
      </w:pPr>
      <w:r>
        <w:rPr>
          <w:rFonts w:hint="eastAsia" w:ascii="仿宋_GB2312" w:eastAsia="仿宋_GB2312"/>
          <w:sz w:val="32"/>
          <w:szCs w:val="32"/>
        </w:rPr>
        <w:t>公用经费348.38万元，包括：办公费、印刷费、电费、邮电费、取暖费、差旅费、维修（护）费、租赁费、会议费、培训费、劳务费、工会经费、公务用车运行维护费、其他商品和服务支出、办公设备购置、公务用车购置、无形资产购置。</w:t>
      </w:r>
    </w:p>
    <w:p w14:paraId="2F0A42B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7AE1A8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“三公”经费支出138.79万元，</w:t>
      </w:r>
      <w:r>
        <w:rPr>
          <w:rFonts w:hint="eastAsia" w:ascii="仿宋_GB2312" w:eastAsia="仿宋_GB2312"/>
          <w:sz w:val="32"/>
          <w:szCs w:val="32"/>
        </w:rPr>
        <w:t>比上年</w:t>
      </w:r>
      <w:r>
        <w:rPr>
          <w:rFonts w:hint="eastAsia" w:ascii="仿宋_GB2312" w:eastAsia="仿宋_GB2312"/>
          <w:sz w:val="32"/>
          <w:szCs w:val="32"/>
          <w:lang w:val="zh-CN"/>
        </w:rPr>
        <w:t>增加83.10万元，</w:t>
      </w:r>
      <w:r>
        <w:rPr>
          <w:rFonts w:hint="eastAsia" w:ascii="仿宋_GB2312" w:eastAsia="仿宋_GB2312"/>
          <w:sz w:val="32"/>
          <w:szCs w:val="32"/>
        </w:rPr>
        <w:t>增长149.22%,</w:t>
      </w:r>
      <w:r>
        <w:rPr>
          <w:rFonts w:hint="eastAsia" w:ascii="仿宋_GB2312" w:eastAsia="仿宋_GB2312"/>
          <w:sz w:val="32"/>
          <w:szCs w:val="32"/>
          <w:lang w:val="zh-CN"/>
        </w:rPr>
        <w:t>主要原因是：本年单位新购车辆，车辆购置费、燃油费等较上年增加。其中：因公出国（境）费支出0.00万元，占0.00%，比上年增加0.00万元，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主要原因是：本年无此项经费；公务用车购置及运行维护费支出138.79万元，占100.00%，比上年增加83.10万元，</w:t>
      </w:r>
      <w:r>
        <w:rPr>
          <w:rFonts w:hint="eastAsia" w:ascii="仿宋_GB2312" w:eastAsia="仿宋_GB2312"/>
          <w:sz w:val="32"/>
          <w:szCs w:val="32"/>
        </w:rPr>
        <w:t>增长149.22%,</w:t>
      </w:r>
      <w:r>
        <w:rPr>
          <w:rFonts w:hint="eastAsia" w:ascii="仿宋_GB2312" w:eastAsia="仿宋_GB2312"/>
          <w:sz w:val="32"/>
          <w:szCs w:val="32"/>
          <w:lang w:val="zh-CN"/>
        </w:rPr>
        <w:t>主要原因是：本年单位新购车辆，车辆购置费、燃油费等较上年增加；公务接待费支出0.00万元，占0.00%，比上年增加0.00万元，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2D3D9CA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FAF1E5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6C2CA701">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公务用车购置及运行维护费138.79万元，其中：公务用车购置费87.25万元，公务用车运行维护费51.54万元。公务用车运行维护费开支内容包括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。公务用车购置数5辆，公务用车保有量16辆。国有资产占用情况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原因是：差异车辆为借用其他单位车辆，车辆费用由本单位财政拨款公务用车运行维护费支付。</w:t>
      </w:r>
    </w:p>
    <w:p w14:paraId="080FCDA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6152002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预算数138.79万元，决算数138.79万元，预决算差异率0.00%，主要原因是：本年严格按年初预算执行“三公”经费，预决算对比无差异。其中：因公出国（境）费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预算数87.25万元，决算数87.25万元，预决算差异率0.00%，主要原因是：本年严格按年初预算执行“三公”经费，预决算对比无差异；公务用车运行费</w:t>
      </w:r>
      <w:r>
        <w:rPr>
          <w:rFonts w:hint="eastAsia" w:ascii="仿宋_GB2312" w:eastAsia="仿宋_GB2312"/>
          <w:sz w:val="32"/>
          <w:szCs w:val="32"/>
        </w:rPr>
        <w:t>全年</w:t>
      </w:r>
      <w:r>
        <w:rPr>
          <w:rFonts w:hint="eastAsia" w:ascii="仿宋_GB2312" w:eastAsia="仿宋_GB2312"/>
          <w:sz w:val="32"/>
          <w:szCs w:val="32"/>
          <w:lang w:val="zh-CN"/>
        </w:rPr>
        <w:t>预算数51.54万元，决算数51.54万元，预决算差异率0.00%，主要原因是：本年严格按年初预算执行“三公”经费，预决算对比无差异；公务接待费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21DC8248">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237EBAC8">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FD04E1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550B47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4288A49">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24DBD75">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1B69E80E">
      <w:pPr>
        <w:ind w:firstLine="640" w:firstLineChars="200"/>
        <w:rPr>
          <w:rFonts w:ascii="仿宋_GB2312" w:eastAsia="仿宋_GB2312"/>
          <w:sz w:val="32"/>
          <w:szCs w:val="32"/>
          <w:lang w:val="zh-CN"/>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中共木垒哈萨克自治县委员会办公室（行政单位和参照公务员法管理事业单位）机关运行经费支出348.38万元，比上年减少282.94万元，下降44.82%，主要原因是：本年单位办公费、取暖费</w:t>
      </w:r>
      <w:r>
        <w:rPr>
          <w:rFonts w:hint="eastAsia" w:ascii="仿宋_GB2312" w:eastAsia="仿宋_GB2312"/>
          <w:sz w:val="32"/>
          <w:szCs w:val="32"/>
          <w:lang w:eastAsia="zh-CN"/>
        </w:rPr>
        <w:t>、</w:t>
      </w:r>
      <w:r>
        <w:rPr>
          <w:rFonts w:hint="eastAsia" w:ascii="仿宋_GB2312" w:eastAsia="仿宋_GB2312"/>
          <w:sz w:val="32"/>
          <w:szCs w:val="32"/>
        </w:rPr>
        <w:t>培训费、劳务费等减少。</w:t>
      </w:r>
    </w:p>
    <w:p w14:paraId="48F81D8E">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1929A76">
      <w:pPr>
        <w:ind w:firstLine="640" w:firstLineChars="200"/>
        <w:rPr>
          <w:rFonts w:ascii="仿宋_GB2312" w:eastAsia="仿宋_GB2312"/>
          <w:sz w:val="32"/>
          <w:szCs w:val="32"/>
          <w:lang w:val="zh-CN"/>
        </w:rPr>
      </w:pPr>
      <w:r>
        <w:rPr>
          <w:rFonts w:hint="eastAsia" w:ascii="仿宋_GB2312" w:eastAsia="仿宋_GB2312"/>
          <w:sz w:val="32"/>
          <w:szCs w:val="32"/>
          <w:lang w:val="zh-CN"/>
        </w:rPr>
        <w:t>2023年度政府采购支出总额224.91万元，其中：政府采购货物支出165.92万元、政府采购工程支出0.00万元、政府采购服务支出58.99万元。</w:t>
      </w:r>
    </w:p>
    <w:p w14:paraId="203CA4D1">
      <w:pPr>
        <w:ind w:firstLine="640" w:firstLineChars="200"/>
        <w:rPr>
          <w:rFonts w:ascii="仿宋_GB2312" w:eastAsia="仿宋_GB2312"/>
          <w:sz w:val="32"/>
          <w:szCs w:val="32"/>
          <w:lang w:val="zh-CN"/>
        </w:rPr>
      </w:pPr>
      <w:r>
        <w:rPr>
          <w:rFonts w:hint="eastAsia" w:ascii="仿宋_GB2312" w:eastAsia="仿宋_GB2312"/>
          <w:sz w:val="32"/>
          <w:szCs w:val="32"/>
          <w:lang w:val="zh-CN"/>
        </w:rPr>
        <w:t>授予中小企业合同金额224.91万元，占政府采购支出总额的100.00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，其中：授予小微企业合同金额177.93万元，占政府采购支出总额的79.11</w:t>
      </w:r>
      <w:r>
        <w:rPr>
          <w:rFonts w:ascii="仿宋_GB2312" w:eastAsia="仿宋_GB2312"/>
          <w:sz w:val="32"/>
          <w:szCs w:val="32"/>
          <w:lang w:val="zh-CN"/>
        </w:rPr>
        <w:t>%</w:t>
      </w:r>
      <w:r>
        <w:rPr>
          <w:rFonts w:hint="eastAsia" w:ascii="仿宋_GB2312" w:eastAsia="仿宋_GB2312"/>
          <w:sz w:val="32"/>
          <w:szCs w:val="32"/>
          <w:lang w:val="zh-CN"/>
        </w:rPr>
        <w:t>。</w:t>
      </w:r>
    </w:p>
    <w:p w14:paraId="518BBAD2">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788ADC68">
      <w:pPr>
        <w:ind w:firstLine="640" w:firstLineChars="200"/>
        <w:rPr>
          <w:rFonts w:ascii="仿宋_GB2312" w:eastAsia="仿宋_GB2312"/>
          <w:sz w:val="32"/>
          <w:szCs w:val="32"/>
          <w:lang w:val="zh-CN"/>
        </w:rPr>
      </w:pPr>
      <w:r>
        <w:rPr>
          <w:rFonts w:hint="eastAsia" w:ascii="仿宋_GB2312" w:eastAsia="仿宋_GB2312"/>
          <w:sz w:val="32"/>
          <w:szCs w:val="32"/>
          <w:lang w:val="zh-CN"/>
        </w:rPr>
        <w:t>截至2023年12月31日，固定资产原值760.61万元，房屋300.0</w:t>
      </w:r>
      <w:r>
        <w:rPr>
          <w:rFonts w:ascii="仿宋_GB2312" w:eastAsia="仿宋_GB2312"/>
          <w:sz w:val="32"/>
          <w:szCs w:val="32"/>
          <w:lang w:val="zh-CN"/>
        </w:rPr>
        <w:t>0</w:t>
      </w:r>
      <w:r>
        <w:rPr>
          <w:rFonts w:hint="eastAsia" w:ascii="仿宋_GB2312" w:eastAsia="仿宋_GB2312"/>
          <w:sz w:val="32"/>
          <w:szCs w:val="32"/>
          <w:lang w:val="zh-CN"/>
        </w:rPr>
        <w:t>平方米，价值12.26万元。车辆12辆，价值196.98万元，其中：副部（省）级及以上领导用车0辆、主要负责人用车0辆、机要通信用车1辆、应急保障用车0辆、执法执勤用车0辆、特种专业技术用车0辆、离退休干部服务用车0辆、其他用车11辆，其他用车主要是：单位业务用车；单价100万元（含）以上设备（不含车辆）0台（套）。</w:t>
      </w:r>
    </w:p>
    <w:p w14:paraId="023684FC">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00986D20">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1,665.95</w:t>
      </w:r>
      <w:r>
        <w:rPr>
          <w:rFonts w:hint="eastAsia" w:ascii="仿宋_GB2312" w:eastAsia="仿宋_GB2312"/>
          <w:sz w:val="32"/>
          <w:szCs w:val="32"/>
        </w:rPr>
        <w:t>万元，实际执行总额</w:t>
      </w:r>
      <w:r>
        <w:rPr>
          <w:rFonts w:ascii="仿宋_GB2312" w:eastAsia="仿宋_GB2312"/>
          <w:sz w:val="32"/>
          <w:szCs w:val="32"/>
        </w:rPr>
        <w:t>1,665.95</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ascii="仿宋_GB2312" w:eastAsia="仿宋_GB2312"/>
          <w:sz w:val="32"/>
          <w:szCs w:val="32"/>
        </w:rPr>
        <w:t>1</w:t>
      </w:r>
      <w:r>
        <w:rPr>
          <w:rFonts w:hint="eastAsia" w:ascii="仿宋_GB2312" w:eastAsia="仿宋_GB2312"/>
          <w:sz w:val="32"/>
          <w:szCs w:val="32"/>
        </w:rPr>
        <w:t>个，全年预算数</w:t>
      </w:r>
      <w:r>
        <w:rPr>
          <w:rFonts w:ascii="仿宋_GB2312" w:eastAsia="仿宋_GB2312"/>
          <w:sz w:val="32"/>
          <w:szCs w:val="32"/>
        </w:rPr>
        <w:t>61.29</w:t>
      </w:r>
      <w:r>
        <w:rPr>
          <w:rFonts w:hint="eastAsia" w:ascii="仿宋_GB2312" w:eastAsia="仿宋_GB2312"/>
          <w:sz w:val="32"/>
          <w:szCs w:val="32"/>
        </w:rPr>
        <w:t>万元，全年执行数</w:t>
      </w:r>
      <w:r>
        <w:rPr>
          <w:rFonts w:ascii="仿宋_GB2312" w:eastAsia="仿宋_GB2312"/>
          <w:sz w:val="32"/>
          <w:szCs w:val="32"/>
        </w:rPr>
        <w:t>61.29</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二是提高部门整体支出绩效目标设定的合理性，重视部门整体支出绩效评价中的问题总结。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858"/>
        <w:gridCol w:w="1438"/>
        <w:gridCol w:w="1560"/>
        <w:gridCol w:w="1417"/>
        <w:gridCol w:w="1134"/>
        <w:gridCol w:w="709"/>
        <w:gridCol w:w="759"/>
      </w:tblGrid>
      <w:tr w14:paraId="5BB1A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729F133B">
            <w:pPr>
              <w:widowControl/>
              <w:jc w:val="center"/>
              <w:rPr>
                <w:rFonts w:hint="eastAsia" w:cs="宋体" w:asciiTheme="minorEastAsia" w:hAnsiTheme="minorEastAsia" w:eastAsiaTheme="minorEastAsia"/>
                <w:b/>
                <w:bCs/>
                <w:kern w:val="0"/>
                <w:sz w:val="32"/>
                <w:szCs w:val="32"/>
              </w:rPr>
            </w:pPr>
            <w:r>
              <w:rPr>
                <w:rFonts w:hint="eastAsia" w:cs="宋体" w:asciiTheme="minorEastAsia" w:hAnsiTheme="minorEastAsia" w:eastAsiaTheme="minorEastAsia"/>
                <w:b/>
                <w:bCs/>
                <w:kern w:val="0"/>
                <w:sz w:val="32"/>
                <w:szCs w:val="32"/>
              </w:rPr>
              <w:t>部门（单位）整体支出绩效目标自评表</w:t>
            </w:r>
          </w:p>
        </w:tc>
      </w:tr>
      <w:tr w14:paraId="5301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4A81074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1B8C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47" w:type="dxa"/>
            <w:shd w:val="clear" w:color="auto" w:fill="auto"/>
            <w:noWrap/>
            <w:vAlign w:val="center"/>
          </w:tcPr>
          <w:p w14:paraId="062618F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875" w:type="dxa"/>
            <w:gridSpan w:val="7"/>
            <w:shd w:val="clear" w:color="auto" w:fill="auto"/>
            <w:noWrap/>
            <w:vAlign w:val="center"/>
          </w:tcPr>
          <w:p w14:paraId="7E97AB1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木垒县县委办公室</w:t>
            </w:r>
          </w:p>
        </w:tc>
      </w:tr>
      <w:tr w14:paraId="52323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47" w:type="dxa"/>
            <w:vMerge w:val="restart"/>
            <w:shd w:val="clear" w:color="auto" w:fill="auto"/>
            <w:vAlign w:val="center"/>
          </w:tcPr>
          <w:p w14:paraId="795882B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858" w:type="dxa"/>
            <w:shd w:val="clear" w:color="auto" w:fill="auto"/>
            <w:vAlign w:val="center"/>
          </w:tcPr>
          <w:p w14:paraId="539ACCD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438" w:type="dxa"/>
            <w:shd w:val="clear" w:color="auto" w:fill="auto"/>
            <w:vAlign w:val="center"/>
          </w:tcPr>
          <w:p w14:paraId="74B2313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560" w:type="dxa"/>
            <w:shd w:val="clear" w:color="auto" w:fill="auto"/>
            <w:vAlign w:val="center"/>
          </w:tcPr>
          <w:p w14:paraId="73162F1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417" w:type="dxa"/>
            <w:shd w:val="clear" w:color="auto" w:fill="auto"/>
            <w:vAlign w:val="center"/>
          </w:tcPr>
          <w:p w14:paraId="351A77B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1134" w:type="dxa"/>
            <w:shd w:val="clear" w:color="auto" w:fill="auto"/>
            <w:vAlign w:val="center"/>
          </w:tcPr>
          <w:p w14:paraId="536FEEB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709" w:type="dxa"/>
            <w:shd w:val="clear" w:color="auto" w:fill="auto"/>
            <w:vAlign w:val="center"/>
          </w:tcPr>
          <w:p w14:paraId="0825BBA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759" w:type="dxa"/>
            <w:shd w:val="clear" w:color="auto" w:fill="auto"/>
            <w:vAlign w:val="center"/>
          </w:tcPr>
          <w:p w14:paraId="2A9C88A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70D3B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47" w:type="dxa"/>
            <w:vMerge w:val="continue"/>
            <w:vAlign w:val="center"/>
          </w:tcPr>
          <w:p w14:paraId="6BF12760">
            <w:pPr>
              <w:widowControl/>
              <w:jc w:val="left"/>
              <w:rPr>
                <w:rFonts w:hint="eastAsia" w:cs="宋体" w:asciiTheme="minorEastAsia" w:hAnsiTheme="minorEastAsia" w:eastAsiaTheme="minorEastAsia"/>
                <w:bCs/>
                <w:kern w:val="0"/>
                <w:sz w:val="20"/>
                <w:szCs w:val="20"/>
              </w:rPr>
            </w:pPr>
          </w:p>
        </w:tc>
        <w:tc>
          <w:tcPr>
            <w:tcW w:w="858" w:type="dxa"/>
            <w:shd w:val="clear" w:color="auto" w:fill="auto"/>
            <w:noWrap/>
            <w:vAlign w:val="center"/>
          </w:tcPr>
          <w:p w14:paraId="1D80795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438" w:type="dxa"/>
            <w:shd w:val="clear" w:color="auto" w:fill="auto"/>
            <w:vAlign w:val="center"/>
          </w:tcPr>
          <w:p w14:paraId="64BB2AE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560" w:type="dxa"/>
            <w:shd w:val="clear" w:color="auto" w:fill="auto"/>
            <w:vAlign w:val="center"/>
          </w:tcPr>
          <w:p w14:paraId="7B6A0A9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14:paraId="2E25AD9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34" w:type="dxa"/>
            <w:shd w:val="clear" w:color="auto" w:fill="auto"/>
            <w:vAlign w:val="center"/>
          </w:tcPr>
          <w:p w14:paraId="7681F04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709" w:type="dxa"/>
            <w:shd w:val="clear" w:color="auto" w:fill="auto"/>
            <w:vAlign w:val="center"/>
          </w:tcPr>
          <w:p w14:paraId="71EC570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759" w:type="dxa"/>
            <w:shd w:val="clear" w:color="auto" w:fill="auto"/>
            <w:vAlign w:val="center"/>
          </w:tcPr>
          <w:p w14:paraId="12D42D1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4AC3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47" w:type="dxa"/>
            <w:vMerge w:val="continue"/>
            <w:vAlign w:val="center"/>
          </w:tcPr>
          <w:p w14:paraId="04F76A18">
            <w:pPr>
              <w:widowControl/>
              <w:jc w:val="left"/>
              <w:rPr>
                <w:rFonts w:hint="eastAsia" w:cs="宋体" w:asciiTheme="minorEastAsia" w:hAnsiTheme="minorEastAsia" w:eastAsiaTheme="minorEastAsia"/>
                <w:bCs/>
                <w:kern w:val="0"/>
                <w:sz w:val="20"/>
                <w:szCs w:val="20"/>
              </w:rPr>
            </w:pPr>
          </w:p>
        </w:tc>
        <w:tc>
          <w:tcPr>
            <w:tcW w:w="858" w:type="dxa"/>
            <w:shd w:val="clear" w:color="auto" w:fill="auto"/>
            <w:vAlign w:val="center"/>
          </w:tcPr>
          <w:p w14:paraId="22ADCD4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438" w:type="dxa"/>
            <w:shd w:val="clear" w:color="auto" w:fill="auto"/>
            <w:vAlign w:val="center"/>
          </w:tcPr>
          <w:p w14:paraId="00A9A76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560" w:type="dxa"/>
            <w:shd w:val="clear" w:color="auto" w:fill="auto"/>
            <w:vAlign w:val="center"/>
          </w:tcPr>
          <w:p w14:paraId="0787657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14:paraId="704B902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34" w:type="dxa"/>
            <w:shd w:val="clear" w:color="auto" w:fill="auto"/>
            <w:vAlign w:val="center"/>
          </w:tcPr>
          <w:p w14:paraId="1DE5B6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shd w:val="clear" w:color="auto" w:fill="auto"/>
            <w:vAlign w:val="center"/>
          </w:tcPr>
          <w:p w14:paraId="109AAA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189297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D19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47" w:type="dxa"/>
            <w:vMerge w:val="continue"/>
            <w:vAlign w:val="center"/>
          </w:tcPr>
          <w:p w14:paraId="3ABE77BE">
            <w:pPr>
              <w:widowControl/>
              <w:jc w:val="left"/>
              <w:rPr>
                <w:rFonts w:hint="eastAsia" w:cs="宋体" w:asciiTheme="minorEastAsia" w:hAnsiTheme="minorEastAsia" w:eastAsiaTheme="minorEastAsia"/>
                <w:bCs/>
                <w:kern w:val="0"/>
                <w:sz w:val="20"/>
                <w:szCs w:val="20"/>
              </w:rPr>
            </w:pPr>
          </w:p>
        </w:tc>
        <w:tc>
          <w:tcPr>
            <w:tcW w:w="858" w:type="dxa"/>
            <w:shd w:val="clear" w:color="auto" w:fill="auto"/>
            <w:vAlign w:val="center"/>
          </w:tcPr>
          <w:p w14:paraId="38047E9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438" w:type="dxa"/>
            <w:shd w:val="clear" w:color="auto" w:fill="auto"/>
            <w:vAlign w:val="center"/>
          </w:tcPr>
          <w:p w14:paraId="1F78C35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62.29</w:t>
            </w:r>
          </w:p>
        </w:tc>
        <w:tc>
          <w:tcPr>
            <w:tcW w:w="1560" w:type="dxa"/>
            <w:shd w:val="clear" w:color="auto" w:fill="auto"/>
            <w:vAlign w:val="center"/>
          </w:tcPr>
          <w:p w14:paraId="76EAB6B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62.29</w:t>
            </w:r>
          </w:p>
        </w:tc>
        <w:tc>
          <w:tcPr>
            <w:tcW w:w="1417" w:type="dxa"/>
            <w:shd w:val="clear" w:color="auto" w:fill="auto"/>
            <w:vAlign w:val="center"/>
          </w:tcPr>
          <w:p w14:paraId="256FBF8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62.29</w:t>
            </w:r>
          </w:p>
        </w:tc>
        <w:tc>
          <w:tcPr>
            <w:tcW w:w="1134" w:type="dxa"/>
            <w:shd w:val="clear" w:color="auto" w:fill="auto"/>
            <w:vAlign w:val="center"/>
          </w:tcPr>
          <w:p w14:paraId="4B146B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shd w:val="clear" w:color="auto" w:fill="auto"/>
            <w:vAlign w:val="center"/>
          </w:tcPr>
          <w:p w14:paraId="697A45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12D053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39F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47" w:type="dxa"/>
            <w:vMerge w:val="continue"/>
            <w:vAlign w:val="center"/>
          </w:tcPr>
          <w:p w14:paraId="2B6855A8">
            <w:pPr>
              <w:widowControl/>
              <w:jc w:val="left"/>
              <w:rPr>
                <w:rFonts w:hint="eastAsia" w:cs="宋体" w:asciiTheme="minorEastAsia" w:hAnsiTheme="minorEastAsia" w:eastAsiaTheme="minorEastAsia"/>
                <w:bCs/>
                <w:kern w:val="0"/>
                <w:sz w:val="20"/>
                <w:szCs w:val="20"/>
              </w:rPr>
            </w:pPr>
          </w:p>
        </w:tc>
        <w:tc>
          <w:tcPr>
            <w:tcW w:w="858" w:type="dxa"/>
            <w:shd w:val="clear" w:color="auto" w:fill="auto"/>
            <w:vAlign w:val="center"/>
          </w:tcPr>
          <w:p w14:paraId="5CAAE09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438" w:type="dxa"/>
            <w:shd w:val="clear" w:color="auto" w:fill="auto"/>
            <w:vAlign w:val="center"/>
          </w:tcPr>
          <w:p w14:paraId="2277543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299.67</w:t>
            </w:r>
          </w:p>
        </w:tc>
        <w:tc>
          <w:tcPr>
            <w:tcW w:w="1560" w:type="dxa"/>
            <w:shd w:val="clear" w:color="auto" w:fill="auto"/>
            <w:vAlign w:val="center"/>
          </w:tcPr>
          <w:p w14:paraId="56E71E9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603.66</w:t>
            </w:r>
          </w:p>
        </w:tc>
        <w:tc>
          <w:tcPr>
            <w:tcW w:w="1417" w:type="dxa"/>
            <w:shd w:val="clear" w:color="auto" w:fill="auto"/>
            <w:vAlign w:val="center"/>
          </w:tcPr>
          <w:p w14:paraId="7B8C974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603.66</w:t>
            </w:r>
          </w:p>
        </w:tc>
        <w:tc>
          <w:tcPr>
            <w:tcW w:w="1134" w:type="dxa"/>
            <w:shd w:val="clear" w:color="auto" w:fill="auto"/>
            <w:vAlign w:val="center"/>
          </w:tcPr>
          <w:p w14:paraId="5B94B9F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shd w:val="clear" w:color="auto" w:fill="auto"/>
            <w:vAlign w:val="center"/>
          </w:tcPr>
          <w:p w14:paraId="73AF08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1CECCD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6A09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47" w:type="dxa"/>
            <w:vMerge w:val="continue"/>
            <w:vAlign w:val="center"/>
          </w:tcPr>
          <w:p w14:paraId="521D0D6D">
            <w:pPr>
              <w:widowControl/>
              <w:jc w:val="left"/>
              <w:rPr>
                <w:rFonts w:hint="eastAsia" w:cs="宋体" w:asciiTheme="minorEastAsia" w:hAnsiTheme="minorEastAsia" w:eastAsiaTheme="minorEastAsia"/>
                <w:bCs/>
                <w:kern w:val="0"/>
                <w:sz w:val="20"/>
                <w:szCs w:val="20"/>
              </w:rPr>
            </w:pPr>
          </w:p>
        </w:tc>
        <w:tc>
          <w:tcPr>
            <w:tcW w:w="858" w:type="dxa"/>
            <w:shd w:val="clear" w:color="auto" w:fill="auto"/>
            <w:vAlign w:val="center"/>
          </w:tcPr>
          <w:p w14:paraId="3F98FCF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438" w:type="dxa"/>
            <w:shd w:val="clear" w:color="auto" w:fill="auto"/>
            <w:vAlign w:val="center"/>
          </w:tcPr>
          <w:p w14:paraId="6B2D7EE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560" w:type="dxa"/>
            <w:shd w:val="clear" w:color="auto" w:fill="auto"/>
            <w:vAlign w:val="center"/>
          </w:tcPr>
          <w:p w14:paraId="4B6B12D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14:paraId="65BF1D6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34" w:type="dxa"/>
            <w:shd w:val="clear" w:color="auto" w:fill="auto"/>
            <w:vAlign w:val="center"/>
          </w:tcPr>
          <w:p w14:paraId="6FD885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shd w:val="clear" w:color="auto" w:fill="auto"/>
            <w:vAlign w:val="center"/>
          </w:tcPr>
          <w:p w14:paraId="60776A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604EB5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8639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47" w:type="dxa"/>
            <w:vMerge w:val="continue"/>
            <w:vAlign w:val="center"/>
          </w:tcPr>
          <w:p w14:paraId="1A5E1444">
            <w:pPr>
              <w:widowControl/>
              <w:jc w:val="left"/>
              <w:rPr>
                <w:rFonts w:hint="eastAsia" w:cs="宋体" w:asciiTheme="minorEastAsia" w:hAnsiTheme="minorEastAsia" w:eastAsiaTheme="minorEastAsia"/>
                <w:bCs/>
                <w:kern w:val="0"/>
                <w:sz w:val="20"/>
                <w:szCs w:val="20"/>
              </w:rPr>
            </w:pPr>
          </w:p>
        </w:tc>
        <w:tc>
          <w:tcPr>
            <w:tcW w:w="858" w:type="dxa"/>
            <w:shd w:val="clear" w:color="auto" w:fill="auto"/>
            <w:vAlign w:val="center"/>
          </w:tcPr>
          <w:p w14:paraId="263C3DF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438" w:type="dxa"/>
            <w:shd w:val="clear" w:color="auto" w:fill="auto"/>
            <w:vAlign w:val="center"/>
          </w:tcPr>
          <w:p w14:paraId="7022B8B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361.96</w:t>
            </w:r>
          </w:p>
        </w:tc>
        <w:tc>
          <w:tcPr>
            <w:tcW w:w="1560" w:type="dxa"/>
            <w:shd w:val="clear" w:color="auto" w:fill="auto"/>
            <w:vAlign w:val="center"/>
          </w:tcPr>
          <w:p w14:paraId="7F166D2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665.95</w:t>
            </w:r>
          </w:p>
        </w:tc>
        <w:tc>
          <w:tcPr>
            <w:tcW w:w="1417" w:type="dxa"/>
            <w:shd w:val="clear" w:color="auto" w:fill="auto"/>
            <w:vAlign w:val="center"/>
          </w:tcPr>
          <w:p w14:paraId="1A671F8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665.95</w:t>
            </w:r>
          </w:p>
        </w:tc>
        <w:tc>
          <w:tcPr>
            <w:tcW w:w="1134" w:type="dxa"/>
            <w:shd w:val="clear" w:color="auto" w:fill="auto"/>
            <w:vAlign w:val="center"/>
          </w:tcPr>
          <w:p w14:paraId="01306E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shd w:val="clear" w:color="auto" w:fill="auto"/>
            <w:vAlign w:val="center"/>
          </w:tcPr>
          <w:p w14:paraId="3A13DD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59" w:type="dxa"/>
            <w:shd w:val="clear" w:color="auto" w:fill="auto"/>
            <w:vAlign w:val="center"/>
          </w:tcPr>
          <w:p w14:paraId="271B2B9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FB09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647" w:type="dxa"/>
            <w:vMerge w:val="restart"/>
            <w:shd w:val="clear" w:color="auto" w:fill="auto"/>
            <w:vAlign w:val="center"/>
          </w:tcPr>
          <w:p w14:paraId="7FB6B41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856" w:type="dxa"/>
            <w:gridSpan w:val="3"/>
            <w:shd w:val="clear" w:color="auto" w:fill="auto"/>
            <w:noWrap/>
            <w:vAlign w:val="center"/>
          </w:tcPr>
          <w:p w14:paraId="1F283DA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019" w:type="dxa"/>
            <w:gridSpan w:val="4"/>
            <w:shd w:val="clear" w:color="auto" w:fill="auto"/>
            <w:noWrap/>
            <w:vAlign w:val="center"/>
          </w:tcPr>
          <w:p w14:paraId="65D24BB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59454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647" w:type="dxa"/>
            <w:vMerge w:val="continue"/>
            <w:vAlign w:val="center"/>
          </w:tcPr>
          <w:p w14:paraId="45E6A54A">
            <w:pPr>
              <w:widowControl/>
              <w:jc w:val="left"/>
              <w:rPr>
                <w:rFonts w:hint="eastAsia" w:cs="宋体" w:asciiTheme="minorEastAsia" w:hAnsiTheme="minorEastAsia" w:eastAsiaTheme="minorEastAsia"/>
                <w:bCs/>
                <w:kern w:val="0"/>
                <w:sz w:val="20"/>
                <w:szCs w:val="20"/>
              </w:rPr>
            </w:pPr>
          </w:p>
        </w:tc>
        <w:tc>
          <w:tcPr>
            <w:tcW w:w="3856" w:type="dxa"/>
            <w:gridSpan w:val="3"/>
            <w:shd w:val="clear" w:color="auto" w:fill="auto"/>
            <w:vAlign w:val="center"/>
          </w:tcPr>
          <w:p w14:paraId="3C5FEE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目标1：保障县委办公室、机要保密局、团委、妇联、工商联基本运行，各项工作圆满完成。</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目标2：保障县领导工作正常有序开展。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目标3：按照县委、县人民政府相应会议部署要求，认真负责</w:t>
            </w:r>
            <w:r>
              <w:rPr>
                <w:rFonts w:hint="eastAsia" w:cs="宋体" w:asciiTheme="minorEastAsia" w:hAnsiTheme="minorEastAsia" w:eastAsiaTheme="minorEastAsia"/>
                <w:kern w:val="0"/>
                <w:sz w:val="20"/>
                <w:szCs w:val="20"/>
                <w:lang w:eastAsia="zh-CN"/>
              </w:rPr>
              <w:t>地</w:t>
            </w:r>
            <w:r>
              <w:rPr>
                <w:rFonts w:hint="eastAsia" w:cs="宋体" w:asciiTheme="minorEastAsia" w:hAnsiTheme="minorEastAsia" w:eastAsiaTheme="minorEastAsia"/>
                <w:kern w:val="0"/>
                <w:sz w:val="20"/>
                <w:szCs w:val="20"/>
              </w:rPr>
              <w:t>做好政府系统会议保障工作，建立全面的常态化办会制度。</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目标4：组织各类学习12次，承办区级、州级会议60次；</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目标5：开展档案业务培训2次，开展立档单位执法检查1次。</w:t>
            </w:r>
          </w:p>
        </w:tc>
        <w:tc>
          <w:tcPr>
            <w:tcW w:w="4019" w:type="dxa"/>
            <w:gridSpan w:val="4"/>
            <w:shd w:val="clear" w:color="auto" w:fill="auto"/>
            <w:vAlign w:val="center"/>
          </w:tcPr>
          <w:p w14:paraId="474912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截至</w:t>
            </w:r>
            <w:r>
              <w:rPr>
                <w:rFonts w:hint="eastAsia" w:cs="宋体" w:asciiTheme="minorEastAsia" w:hAnsiTheme="minorEastAsia" w:eastAsiaTheme="minorEastAsia"/>
                <w:kern w:val="0"/>
                <w:sz w:val="20"/>
                <w:szCs w:val="20"/>
              </w:rPr>
              <w:t>本次自评已完成：组织各类学习12次，承办区级、州级会议60次；开展档案业务培训2次，开展立档单位执法检查1次。保障了县委办公室、机要保密局、团委、妇联、工商联基本运行，认真负责</w:t>
            </w:r>
            <w:r>
              <w:rPr>
                <w:rFonts w:hint="eastAsia" w:cs="宋体" w:asciiTheme="minorEastAsia" w:hAnsiTheme="minorEastAsia" w:eastAsiaTheme="minorEastAsia"/>
                <w:kern w:val="0"/>
                <w:sz w:val="20"/>
                <w:szCs w:val="20"/>
                <w:lang w:eastAsia="zh-CN"/>
              </w:rPr>
              <w:t>地</w:t>
            </w:r>
            <w:r>
              <w:rPr>
                <w:rFonts w:hint="eastAsia" w:cs="宋体" w:asciiTheme="minorEastAsia" w:hAnsiTheme="minorEastAsia" w:eastAsiaTheme="minorEastAsia"/>
                <w:kern w:val="0"/>
                <w:sz w:val="20"/>
                <w:szCs w:val="20"/>
              </w:rPr>
              <w:t>做好了党委系统会议保障工作，建立了全面的常态化办会制度，各项工作圆满完成。</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保障县领导工作正常有序开展。</w:t>
            </w:r>
          </w:p>
        </w:tc>
      </w:tr>
      <w:tr w14:paraId="4FE28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647" w:type="dxa"/>
            <w:shd w:val="clear" w:color="auto" w:fill="auto"/>
            <w:vAlign w:val="center"/>
          </w:tcPr>
          <w:p w14:paraId="51411E7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858" w:type="dxa"/>
            <w:shd w:val="clear" w:color="auto" w:fill="auto"/>
            <w:vAlign w:val="center"/>
          </w:tcPr>
          <w:p w14:paraId="4A3B331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438" w:type="dxa"/>
            <w:shd w:val="clear" w:color="auto" w:fill="auto"/>
            <w:vAlign w:val="center"/>
          </w:tcPr>
          <w:p w14:paraId="5C23F47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560" w:type="dxa"/>
            <w:shd w:val="clear" w:color="auto" w:fill="auto"/>
            <w:vAlign w:val="center"/>
          </w:tcPr>
          <w:p w14:paraId="6A663D6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417" w:type="dxa"/>
            <w:shd w:val="clear" w:color="auto" w:fill="auto"/>
            <w:vAlign w:val="center"/>
          </w:tcPr>
          <w:p w14:paraId="6F4EF09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1134" w:type="dxa"/>
            <w:shd w:val="clear" w:color="auto" w:fill="auto"/>
            <w:vAlign w:val="center"/>
          </w:tcPr>
          <w:p w14:paraId="4270859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709" w:type="dxa"/>
            <w:shd w:val="clear" w:color="auto" w:fill="auto"/>
            <w:vAlign w:val="center"/>
          </w:tcPr>
          <w:p w14:paraId="71C2605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759" w:type="dxa"/>
            <w:shd w:val="clear" w:color="auto" w:fill="auto"/>
            <w:vAlign w:val="center"/>
          </w:tcPr>
          <w:p w14:paraId="48F73CC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40822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47" w:type="dxa"/>
            <w:vMerge w:val="restart"/>
            <w:shd w:val="clear" w:color="auto" w:fill="auto"/>
            <w:vAlign w:val="center"/>
          </w:tcPr>
          <w:p w14:paraId="414298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858" w:type="dxa"/>
            <w:vMerge w:val="restart"/>
            <w:shd w:val="clear" w:color="auto" w:fill="auto"/>
            <w:vAlign w:val="center"/>
          </w:tcPr>
          <w:p w14:paraId="32D228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438" w:type="dxa"/>
            <w:shd w:val="clear" w:color="auto" w:fill="auto"/>
            <w:vAlign w:val="center"/>
          </w:tcPr>
          <w:p w14:paraId="4377679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560" w:type="dxa"/>
            <w:shd w:val="clear" w:color="auto" w:fill="auto"/>
            <w:vAlign w:val="center"/>
          </w:tcPr>
          <w:p w14:paraId="56CD6D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&gt;=56人</w:t>
            </w:r>
          </w:p>
        </w:tc>
        <w:tc>
          <w:tcPr>
            <w:tcW w:w="1417" w:type="dxa"/>
            <w:shd w:val="clear" w:color="auto" w:fill="auto"/>
            <w:vAlign w:val="center"/>
          </w:tcPr>
          <w:p w14:paraId="21FA7E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《关于下达2023年木垒县部门预算批复的通知》（木财字〔2023〕24号）</w:t>
            </w:r>
          </w:p>
        </w:tc>
        <w:tc>
          <w:tcPr>
            <w:tcW w:w="1134" w:type="dxa"/>
            <w:shd w:val="clear" w:color="auto" w:fill="auto"/>
            <w:vAlign w:val="center"/>
          </w:tcPr>
          <w:p w14:paraId="21CA7E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shd w:val="clear" w:color="auto" w:fill="auto"/>
            <w:vAlign w:val="center"/>
          </w:tcPr>
          <w:p w14:paraId="706683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63人</w:t>
            </w:r>
          </w:p>
        </w:tc>
        <w:tc>
          <w:tcPr>
            <w:tcW w:w="759" w:type="dxa"/>
            <w:shd w:val="clear" w:color="auto" w:fill="auto"/>
            <w:vAlign w:val="center"/>
          </w:tcPr>
          <w:p w14:paraId="27D564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A31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47" w:type="dxa"/>
            <w:vMerge w:val="continue"/>
            <w:vAlign w:val="center"/>
          </w:tcPr>
          <w:p w14:paraId="5C5AFF5E">
            <w:pPr>
              <w:widowControl/>
              <w:jc w:val="left"/>
              <w:rPr>
                <w:rFonts w:hint="eastAsia" w:cs="宋体" w:asciiTheme="minorEastAsia" w:hAnsiTheme="minorEastAsia" w:eastAsiaTheme="minorEastAsia"/>
                <w:kern w:val="0"/>
                <w:sz w:val="20"/>
                <w:szCs w:val="20"/>
              </w:rPr>
            </w:pPr>
          </w:p>
        </w:tc>
        <w:tc>
          <w:tcPr>
            <w:tcW w:w="858" w:type="dxa"/>
            <w:vMerge w:val="continue"/>
            <w:vAlign w:val="center"/>
          </w:tcPr>
          <w:p w14:paraId="2A0397EF">
            <w:pPr>
              <w:widowControl/>
              <w:jc w:val="left"/>
              <w:rPr>
                <w:rFonts w:hint="eastAsia" w:cs="宋体" w:asciiTheme="minorEastAsia" w:hAnsiTheme="minorEastAsia" w:eastAsiaTheme="minorEastAsia"/>
                <w:kern w:val="0"/>
                <w:sz w:val="20"/>
                <w:szCs w:val="20"/>
              </w:rPr>
            </w:pPr>
          </w:p>
        </w:tc>
        <w:tc>
          <w:tcPr>
            <w:tcW w:w="1438" w:type="dxa"/>
            <w:shd w:val="clear" w:color="auto" w:fill="auto"/>
            <w:vAlign w:val="center"/>
          </w:tcPr>
          <w:p w14:paraId="66E87D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560" w:type="dxa"/>
            <w:shd w:val="clear" w:color="auto" w:fill="auto"/>
            <w:vAlign w:val="center"/>
          </w:tcPr>
          <w:p w14:paraId="00120B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&gt;=14辆</w:t>
            </w:r>
          </w:p>
        </w:tc>
        <w:tc>
          <w:tcPr>
            <w:tcW w:w="1417" w:type="dxa"/>
            <w:shd w:val="clear" w:color="auto" w:fill="auto"/>
            <w:vAlign w:val="center"/>
          </w:tcPr>
          <w:p w14:paraId="4F486F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《关于核定木垒哈萨克自治县委办公室一般公务用车编制的函》</w:t>
            </w:r>
          </w:p>
        </w:tc>
        <w:tc>
          <w:tcPr>
            <w:tcW w:w="1134" w:type="dxa"/>
            <w:shd w:val="clear" w:color="auto" w:fill="auto"/>
            <w:vAlign w:val="center"/>
          </w:tcPr>
          <w:p w14:paraId="28FAA0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shd w:val="clear" w:color="auto" w:fill="auto"/>
            <w:vAlign w:val="center"/>
          </w:tcPr>
          <w:p w14:paraId="31F022B1">
            <w:pPr>
              <w:widowControl/>
              <w:jc w:val="center"/>
              <w:rPr>
                <w:rFonts w:hint="eastAsia" w:cs="宋体" w:asciiTheme="minorEastAsia" w:hAnsiTheme="minorEastAsia" w:eastAsiaTheme="minorEastAsia"/>
                <w:kern w:val="0"/>
                <w:sz w:val="20"/>
                <w:szCs w:val="20"/>
              </w:rPr>
            </w:pPr>
            <w:bookmarkStart w:id="48" w:name="_GoBack"/>
            <w:r>
              <w:rPr>
                <w:rFonts w:hint="eastAsia" w:cs="宋体" w:asciiTheme="minorEastAsia" w:hAnsiTheme="minorEastAsia" w:eastAsiaTheme="minorEastAsia"/>
                <w:kern w:val="0"/>
                <w:sz w:val="20"/>
                <w:szCs w:val="20"/>
              </w:rPr>
              <w:t>14</w:t>
            </w:r>
            <w:bookmarkEnd w:id="48"/>
            <w:r>
              <w:rPr>
                <w:rFonts w:hint="eastAsia" w:cs="宋体" w:asciiTheme="minorEastAsia" w:hAnsiTheme="minorEastAsia" w:eastAsiaTheme="minorEastAsia"/>
                <w:kern w:val="0"/>
                <w:sz w:val="20"/>
                <w:szCs w:val="20"/>
              </w:rPr>
              <w:t>辆</w:t>
            </w:r>
          </w:p>
        </w:tc>
        <w:tc>
          <w:tcPr>
            <w:tcW w:w="759" w:type="dxa"/>
            <w:shd w:val="clear" w:color="auto" w:fill="auto"/>
            <w:vAlign w:val="center"/>
          </w:tcPr>
          <w:p w14:paraId="646FA5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891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47" w:type="dxa"/>
            <w:vMerge w:val="restart"/>
            <w:shd w:val="clear" w:color="auto" w:fill="auto"/>
            <w:vAlign w:val="center"/>
          </w:tcPr>
          <w:p w14:paraId="3B78F1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858" w:type="dxa"/>
            <w:vMerge w:val="continue"/>
            <w:vAlign w:val="center"/>
          </w:tcPr>
          <w:p w14:paraId="29C626BF">
            <w:pPr>
              <w:widowControl/>
              <w:jc w:val="left"/>
              <w:rPr>
                <w:rFonts w:hint="eastAsia" w:cs="宋体" w:asciiTheme="minorEastAsia" w:hAnsiTheme="minorEastAsia" w:eastAsiaTheme="minorEastAsia"/>
                <w:kern w:val="0"/>
                <w:sz w:val="20"/>
                <w:szCs w:val="20"/>
              </w:rPr>
            </w:pPr>
          </w:p>
        </w:tc>
        <w:tc>
          <w:tcPr>
            <w:tcW w:w="1438" w:type="dxa"/>
            <w:shd w:val="clear" w:color="auto" w:fill="auto"/>
            <w:vAlign w:val="center"/>
          </w:tcPr>
          <w:p w14:paraId="31C93E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管理职能单位数量</w:t>
            </w:r>
          </w:p>
        </w:tc>
        <w:tc>
          <w:tcPr>
            <w:tcW w:w="1560" w:type="dxa"/>
            <w:shd w:val="clear" w:color="auto" w:fill="auto"/>
            <w:vAlign w:val="center"/>
          </w:tcPr>
          <w:p w14:paraId="10821B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=4个</w:t>
            </w:r>
          </w:p>
        </w:tc>
        <w:tc>
          <w:tcPr>
            <w:tcW w:w="1417" w:type="dxa"/>
            <w:shd w:val="clear" w:color="auto" w:fill="auto"/>
            <w:vAlign w:val="center"/>
          </w:tcPr>
          <w:p w14:paraId="6A77CB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《关于下达2023年木垒县部门预算批复的通知》（木财字〔2023〕24号）</w:t>
            </w:r>
          </w:p>
        </w:tc>
        <w:tc>
          <w:tcPr>
            <w:tcW w:w="1134" w:type="dxa"/>
            <w:shd w:val="clear" w:color="auto" w:fill="auto"/>
            <w:vAlign w:val="center"/>
          </w:tcPr>
          <w:p w14:paraId="10C479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shd w:val="clear" w:color="auto" w:fill="auto"/>
            <w:vAlign w:val="center"/>
          </w:tcPr>
          <w:p w14:paraId="5C7340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4个</w:t>
            </w:r>
          </w:p>
        </w:tc>
        <w:tc>
          <w:tcPr>
            <w:tcW w:w="759" w:type="dxa"/>
            <w:shd w:val="clear" w:color="auto" w:fill="auto"/>
            <w:vAlign w:val="center"/>
          </w:tcPr>
          <w:p w14:paraId="4C7CBD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DBF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47" w:type="dxa"/>
            <w:vMerge w:val="continue"/>
            <w:vAlign w:val="center"/>
          </w:tcPr>
          <w:p w14:paraId="32B19DA0">
            <w:pPr>
              <w:widowControl/>
              <w:jc w:val="left"/>
              <w:rPr>
                <w:rFonts w:hint="eastAsia" w:cs="宋体" w:asciiTheme="minorEastAsia" w:hAnsiTheme="minorEastAsia" w:eastAsiaTheme="minorEastAsia"/>
                <w:kern w:val="0"/>
                <w:sz w:val="20"/>
                <w:szCs w:val="20"/>
              </w:rPr>
            </w:pPr>
          </w:p>
        </w:tc>
        <w:tc>
          <w:tcPr>
            <w:tcW w:w="858" w:type="dxa"/>
            <w:vMerge w:val="continue"/>
            <w:vAlign w:val="center"/>
          </w:tcPr>
          <w:p w14:paraId="62F8C223">
            <w:pPr>
              <w:widowControl/>
              <w:jc w:val="left"/>
              <w:rPr>
                <w:rFonts w:hint="eastAsia" w:cs="宋体" w:asciiTheme="minorEastAsia" w:hAnsiTheme="minorEastAsia" w:eastAsiaTheme="minorEastAsia"/>
                <w:kern w:val="0"/>
                <w:sz w:val="20"/>
                <w:szCs w:val="20"/>
              </w:rPr>
            </w:pPr>
          </w:p>
        </w:tc>
        <w:tc>
          <w:tcPr>
            <w:tcW w:w="1438" w:type="dxa"/>
            <w:shd w:val="clear" w:color="auto" w:fill="auto"/>
            <w:vAlign w:val="center"/>
          </w:tcPr>
          <w:p w14:paraId="7C3CAF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档案业务培训</w:t>
            </w:r>
          </w:p>
        </w:tc>
        <w:tc>
          <w:tcPr>
            <w:tcW w:w="1560" w:type="dxa"/>
            <w:shd w:val="clear" w:color="auto" w:fill="auto"/>
            <w:vAlign w:val="center"/>
          </w:tcPr>
          <w:p w14:paraId="3F2D50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&gt;=2次</w:t>
            </w:r>
          </w:p>
        </w:tc>
        <w:tc>
          <w:tcPr>
            <w:tcW w:w="1417" w:type="dxa"/>
            <w:shd w:val="clear" w:color="auto" w:fill="auto"/>
            <w:vAlign w:val="center"/>
          </w:tcPr>
          <w:p w14:paraId="48875B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县委办公室2023年工作计划</w:t>
            </w:r>
          </w:p>
        </w:tc>
        <w:tc>
          <w:tcPr>
            <w:tcW w:w="1134" w:type="dxa"/>
            <w:shd w:val="clear" w:color="auto" w:fill="auto"/>
            <w:vAlign w:val="center"/>
          </w:tcPr>
          <w:p w14:paraId="0BDDC7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shd w:val="clear" w:color="auto" w:fill="auto"/>
            <w:vAlign w:val="center"/>
          </w:tcPr>
          <w:p w14:paraId="562CC3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759" w:type="dxa"/>
            <w:shd w:val="clear" w:color="auto" w:fill="auto"/>
            <w:vAlign w:val="center"/>
          </w:tcPr>
          <w:p w14:paraId="0E43E5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7E7B3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47" w:type="dxa"/>
            <w:vMerge w:val="continue"/>
            <w:vAlign w:val="center"/>
          </w:tcPr>
          <w:p w14:paraId="185A0B0D">
            <w:pPr>
              <w:widowControl/>
              <w:jc w:val="left"/>
              <w:rPr>
                <w:rFonts w:hint="eastAsia" w:cs="宋体" w:asciiTheme="minorEastAsia" w:hAnsiTheme="minorEastAsia" w:eastAsiaTheme="minorEastAsia"/>
                <w:kern w:val="0"/>
                <w:sz w:val="20"/>
                <w:szCs w:val="20"/>
              </w:rPr>
            </w:pPr>
          </w:p>
        </w:tc>
        <w:tc>
          <w:tcPr>
            <w:tcW w:w="858" w:type="dxa"/>
            <w:vMerge w:val="continue"/>
            <w:vAlign w:val="center"/>
          </w:tcPr>
          <w:p w14:paraId="5166AF3D">
            <w:pPr>
              <w:widowControl/>
              <w:jc w:val="left"/>
              <w:rPr>
                <w:rFonts w:hint="eastAsia" w:cs="宋体" w:asciiTheme="minorEastAsia" w:hAnsiTheme="minorEastAsia" w:eastAsiaTheme="minorEastAsia"/>
                <w:kern w:val="0"/>
                <w:sz w:val="20"/>
                <w:szCs w:val="20"/>
              </w:rPr>
            </w:pPr>
          </w:p>
        </w:tc>
        <w:tc>
          <w:tcPr>
            <w:tcW w:w="1438" w:type="dxa"/>
            <w:shd w:val="clear" w:color="auto" w:fill="auto"/>
            <w:vAlign w:val="center"/>
          </w:tcPr>
          <w:p w14:paraId="6B5D95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开展立档单位执法检查数量</w:t>
            </w:r>
          </w:p>
        </w:tc>
        <w:tc>
          <w:tcPr>
            <w:tcW w:w="1560" w:type="dxa"/>
            <w:shd w:val="clear" w:color="auto" w:fill="auto"/>
            <w:vAlign w:val="center"/>
          </w:tcPr>
          <w:p w14:paraId="004B56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=1次</w:t>
            </w:r>
          </w:p>
        </w:tc>
        <w:tc>
          <w:tcPr>
            <w:tcW w:w="1417" w:type="dxa"/>
            <w:shd w:val="clear" w:color="auto" w:fill="auto"/>
            <w:vAlign w:val="center"/>
          </w:tcPr>
          <w:p w14:paraId="653948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县委办公室2023年工作计划</w:t>
            </w:r>
          </w:p>
        </w:tc>
        <w:tc>
          <w:tcPr>
            <w:tcW w:w="1134" w:type="dxa"/>
            <w:shd w:val="clear" w:color="auto" w:fill="auto"/>
            <w:vAlign w:val="center"/>
          </w:tcPr>
          <w:p w14:paraId="61AC4D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shd w:val="clear" w:color="auto" w:fill="auto"/>
            <w:vAlign w:val="center"/>
          </w:tcPr>
          <w:p w14:paraId="2A2BD6F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1次</w:t>
            </w:r>
          </w:p>
        </w:tc>
        <w:tc>
          <w:tcPr>
            <w:tcW w:w="759" w:type="dxa"/>
            <w:shd w:val="clear" w:color="auto" w:fill="auto"/>
            <w:vAlign w:val="center"/>
          </w:tcPr>
          <w:p w14:paraId="6EE266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0D3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47" w:type="dxa"/>
            <w:vMerge w:val="restart"/>
            <w:shd w:val="clear" w:color="auto" w:fill="auto"/>
            <w:vAlign w:val="center"/>
          </w:tcPr>
          <w:p w14:paraId="58F964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858" w:type="dxa"/>
            <w:vMerge w:val="continue"/>
            <w:vAlign w:val="center"/>
          </w:tcPr>
          <w:p w14:paraId="728A753A">
            <w:pPr>
              <w:widowControl/>
              <w:jc w:val="left"/>
              <w:rPr>
                <w:rFonts w:hint="eastAsia" w:cs="宋体" w:asciiTheme="minorEastAsia" w:hAnsiTheme="minorEastAsia" w:eastAsiaTheme="minorEastAsia"/>
                <w:kern w:val="0"/>
                <w:sz w:val="20"/>
                <w:szCs w:val="20"/>
              </w:rPr>
            </w:pPr>
          </w:p>
        </w:tc>
        <w:tc>
          <w:tcPr>
            <w:tcW w:w="1438" w:type="dxa"/>
            <w:shd w:val="clear" w:color="auto" w:fill="auto"/>
            <w:vAlign w:val="center"/>
          </w:tcPr>
          <w:p w14:paraId="44C031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组织各类学习次数</w:t>
            </w:r>
          </w:p>
        </w:tc>
        <w:tc>
          <w:tcPr>
            <w:tcW w:w="1560" w:type="dxa"/>
            <w:shd w:val="clear" w:color="auto" w:fill="auto"/>
            <w:vAlign w:val="center"/>
          </w:tcPr>
          <w:p w14:paraId="1C301A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417" w:type="dxa"/>
            <w:shd w:val="clear" w:color="auto" w:fill="auto"/>
            <w:vAlign w:val="center"/>
          </w:tcPr>
          <w:p w14:paraId="7C8612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县委办公室2023年工作计划</w:t>
            </w:r>
          </w:p>
        </w:tc>
        <w:tc>
          <w:tcPr>
            <w:tcW w:w="1134" w:type="dxa"/>
            <w:shd w:val="clear" w:color="auto" w:fill="auto"/>
            <w:vAlign w:val="center"/>
          </w:tcPr>
          <w:p w14:paraId="3E93A8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09" w:type="dxa"/>
            <w:shd w:val="clear" w:color="auto" w:fill="auto"/>
            <w:vAlign w:val="center"/>
          </w:tcPr>
          <w:p w14:paraId="41A534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759" w:type="dxa"/>
            <w:shd w:val="clear" w:color="auto" w:fill="auto"/>
            <w:vAlign w:val="center"/>
          </w:tcPr>
          <w:p w14:paraId="79DD10A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6C32D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47" w:type="dxa"/>
            <w:vMerge w:val="continue"/>
            <w:vAlign w:val="center"/>
          </w:tcPr>
          <w:p w14:paraId="4FE1EFBC">
            <w:pPr>
              <w:widowControl/>
              <w:jc w:val="left"/>
              <w:rPr>
                <w:rFonts w:hint="eastAsia" w:cs="宋体" w:asciiTheme="minorEastAsia" w:hAnsiTheme="minorEastAsia" w:eastAsiaTheme="minorEastAsia"/>
                <w:kern w:val="0"/>
                <w:sz w:val="20"/>
                <w:szCs w:val="20"/>
              </w:rPr>
            </w:pPr>
          </w:p>
        </w:tc>
        <w:tc>
          <w:tcPr>
            <w:tcW w:w="858" w:type="dxa"/>
            <w:vMerge w:val="continue"/>
            <w:vAlign w:val="center"/>
          </w:tcPr>
          <w:p w14:paraId="29B6D82A">
            <w:pPr>
              <w:widowControl/>
              <w:jc w:val="left"/>
              <w:rPr>
                <w:rFonts w:hint="eastAsia" w:cs="宋体" w:asciiTheme="minorEastAsia" w:hAnsiTheme="minorEastAsia" w:eastAsiaTheme="minorEastAsia"/>
                <w:kern w:val="0"/>
                <w:sz w:val="20"/>
                <w:szCs w:val="20"/>
              </w:rPr>
            </w:pPr>
          </w:p>
        </w:tc>
        <w:tc>
          <w:tcPr>
            <w:tcW w:w="1438" w:type="dxa"/>
            <w:shd w:val="clear" w:color="auto" w:fill="auto"/>
            <w:noWrap/>
            <w:vAlign w:val="center"/>
          </w:tcPr>
          <w:p w14:paraId="668F871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承办自治区级、自治州级会议</w:t>
            </w:r>
          </w:p>
        </w:tc>
        <w:tc>
          <w:tcPr>
            <w:tcW w:w="1560" w:type="dxa"/>
            <w:shd w:val="clear" w:color="auto" w:fill="auto"/>
            <w:noWrap/>
            <w:vAlign w:val="center"/>
          </w:tcPr>
          <w:p w14:paraId="2B3D7FC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&gt;=30场次</w:t>
            </w:r>
          </w:p>
        </w:tc>
        <w:tc>
          <w:tcPr>
            <w:tcW w:w="1417" w:type="dxa"/>
            <w:shd w:val="clear" w:color="auto" w:fill="auto"/>
            <w:noWrap/>
            <w:vAlign w:val="center"/>
          </w:tcPr>
          <w:p w14:paraId="715BBEA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县委办公室2023年工作计划</w:t>
            </w:r>
          </w:p>
        </w:tc>
        <w:tc>
          <w:tcPr>
            <w:tcW w:w="1134" w:type="dxa"/>
            <w:shd w:val="clear" w:color="auto" w:fill="auto"/>
            <w:noWrap/>
            <w:vAlign w:val="center"/>
          </w:tcPr>
          <w:p w14:paraId="67ADB97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09" w:type="dxa"/>
            <w:shd w:val="clear" w:color="auto" w:fill="auto"/>
            <w:noWrap/>
            <w:vAlign w:val="center"/>
          </w:tcPr>
          <w:p w14:paraId="0EB148C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35场次</w:t>
            </w:r>
          </w:p>
        </w:tc>
        <w:tc>
          <w:tcPr>
            <w:tcW w:w="759" w:type="dxa"/>
            <w:shd w:val="clear" w:color="auto" w:fill="auto"/>
            <w:noWrap/>
            <w:vAlign w:val="center"/>
          </w:tcPr>
          <w:p w14:paraId="4241AA6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788BA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47" w:type="dxa"/>
            <w:vMerge w:val="continue"/>
            <w:vAlign w:val="center"/>
          </w:tcPr>
          <w:p w14:paraId="754AD078">
            <w:pPr>
              <w:widowControl/>
              <w:jc w:val="left"/>
              <w:rPr>
                <w:rFonts w:hint="eastAsia" w:cs="宋体" w:asciiTheme="minorEastAsia" w:hAnsiTheme="minorEastAsia" w:eastAsiaTheme="minorEastAsia"/>
                <w:kern w:val="0"/>
                <w:sz w:val="20"/>
                <w:szCs w:val="20"/>
              </w:rPr>
            </w:pPr>
          </w:p>
        </w:tc>
        <w:tc>
          <w:tcPr>
            <w:tcW w:w="858" w:type="dxa"/>
            <w:shd w:val="clear" w:color="auto" w:fill="auto"/>
            <w:noWrap/>
            <w:vAlign w:val="center"/>
          </w:tcPr>
          <w:p w14:paraId="522C6F5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438" w:type="dxa"/>
            <w:shd w:val="clear" w:color="auto" w:fill="auto"/>
            <w:noWrap/>
            <w:vAlign w:val="center"/>
          </w:tcPr>
          <w:p w14:paraId="0DB7940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参会人员到场率</w:t>
            </w:r>
          </w:p>
        </w:tc>
        <w:tc>
          <w:tcPr>
            <w:tcW w:w="1560" w:type="dxa"/>
            <w:shd w:val="clear" w:color="auto" w:fill="auto"/>
            <w:noWrap/>
            <w:vAlign w:val="center"/>
          </w:tcPr>
          <w:p w14:paraId="56B59D7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17" w:type="dxa"/>
            <w:shd w:val="clear" w:color="auto" w:fill="auto"/>
            <w:noWrap/>
            <w:vAlign w:val="center"/>
          </w:tcPr>
          <w:p w14:paraId="1066B36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县委办公室2023年工作计划</w:t>
            </w:r>
          </w:p>
        </w:tc>
        <w:tc>
          <w:tcPr>
            <w:tcW w:w="1134" w:type="dxa"/>
            <w:shd w:val="clear" w:color="auto" w:fill="auto"/>
            <w:noWrap/>
            <w:vAlign w:val="center"/>
          </w:tcPr>
          <w:p w14:paraId="4EFE243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shd w:val="clear" w:color="auto" w:fill="auto"/>
            <w:noWrap/>
            <w:vAlign w:val="center"/>
          </w:tcPr>
          <w:p w14:paraId="06C0B7C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759" w:type="dxa"/>
            <w:shd w:val="clear" w:color="auto" w:fill="auto"/>
            <w:noWrap/>
            <w:vAlign w:val="center"/>
          </w:tcPr>
          <w:p w14:paraId="2A57776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6D31AB63">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4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
        <w:gridCol w:w="415"/>
        <w:gridCol w:w="1013"/>
        <w:gridCol w:w="1278"/>
        <w:gridCol w:w="1557"/>
        <w:gridCol w:w="1392"/>
        <w:gridCol w:w="516"/>
        <w:gridCol w:w="206"/>
        <w:gridCol w:w="458"/>
        <w:gridCol w:w="454"/>
        <w:gridCol w:w="714"/>
      </w:tblGrid>
      <w:tr w14:paraId="0F7A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8" w:type="dxa"/>
            <w:gridSpan w:val="11"/>
            <w:shd w:val="clear" w:color="auto" w:fill="auto"/>
            <w:vAlign w:val="center"/>
          </w:tcPr>
          <w:p w14:paraId="2588E30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7F7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8" w:type="dxa"/>
            <w:gridSpan w:val="11"/>
            <w:shd w:val="clear" w:color="auto" w:fill="auto"/>
            <w:vAlign w:val="center"/>
          </w:tcPr>
          <w:p w14:paraId="6EE590F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2023年度</w:t>
            </w:r>
            <w:r>
              <w:rPr>
                <w:rFonts w:hint="eastAsia" w:ascii="宋体" w:hAnsi="宋体" w:cs="宋体"/>
                <w:color w:val="000000"/>
                <w:kern w:val="0"/>
                <w:sz w:val="20"/>
                <w:szCs w:val="20"/>
                <w:lang w:eastAsia="zh-CN"/>
              </w:rPr>
              <w:t>）</w:t>
            </w:r>
          </w:p>
        </w:tc>
      </w:tr>
      <w:tr w14:paraId="1DCED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0" w:type="dxa"/>
            <w:gridSpan w:val="2"/>
            <w:shd w:val="clear" w:color="auto" w:fill="auto"/>
            <w:vAlign w:val="center"/>
          </w:tcPr>
          <w:p w14:paraId="61E97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8" w:type="dxa"/>
            <w:gridSpan w:val="9"/>
            <w:shd w:val="clear" w:color="auto" w:fill="auto"/>
            <w:vAlign w:val="center"/>
          </w:tcPr>
          <w:p w14:paraId="5564F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2023年大学生志愿服务西部计划中央补助资金</w:t>
            </w:r>
          </w:p>
        </w:tc>
      </w:tr>
      <w:tr w14:paraId="44F02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0" w:type="dxa"/>
            <w:gridSpan w:val="2"/>
            <w:shd w:val="clear" w:color="auto" w:fill="auto"/>
            <w:vAlign w:val="center"/>
          </w:tcPr>
          <w:p w14:paraId="222A9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48" w:type="dxa"/>
            <w:gridSpan w:val="3"/>
            <w:shd w:val="clear" w:color="auto" w:fill="auto"/>
            <w:vAlign w:val="center"/>
          </w:tcPr>
          <w:p w14:paraId="5627D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木垒县县委办公室</w:t>
            </w:r>
          </w:p>
        </w:tc>
        <w:tc>
          <w:tcPr>
            <w:tcW w:w="1392" w:type="dxa"/>
            <w:shd w:val="clear" w:color="auto" w:fill="auto"/>
            <w:vAlign w:val="center"/>
          </w:tcPr>
          <w:p w14:paraId="51454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48" w:type="dxa"/>
            <w:gridSpan w:val="5"/>
            <w:shd w:val="clear" w:color="auto" w:fill="auto"/>
            <w:vAlign w:val="center"/>
          </w:tcPr>
          <w:p w14:paraId="69DC5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木垒县县委办公室</w:t>
            </w:r>
          </w:p>
        </w:tc>
      </w:tr>
      <w:tr w14:paraId="4E074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0" w:type="dxa"/>
            <w:gridSpan w:val="2"/>
            <w:vMerge w:val="restart"/>
            <w:shd w:val="clear" w:color="auto" w:fill="auto"/>
            <w:vAlign w:val="center"/>
          </w:tcPr>
          <w:p w14:paraId="4CA97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3" w:type="dxa"/>
            <w:shd w:val="clear" w:color="auto" w:fill="auto"/>
            <w:vAlign w:val="center"/>
          </w:tcPr>
          <w:p w14:paraId="1D7398B5">
            <w:pPr>
              <w:widowControl/>
              <w:jc w:val="center"/>
              <w:rPr>
                <w:rFonts w:hint="eastAsia" w:ascii="宋体" w:hAnsi="宋体" w:cs="宋体"/>
                <w:color w:val="000000"/>
                <w:kern w:val="0"/>
                <w:sz w:val="20"/>
                <w:szCs w:val="20"/>
              </w:rPr>
            </w:pPr>
          </w:p>
        </w:tc>
        <w:tc>
          <w:tcPr>
            <w:tcW w:w="1278" w:type="dxa"/>
            <w:shd w:val="clear" w:color="auto" w:fill="auto"/>
            <w:vAlign w:val="center"/>
          </w:tcPr>
          <w:p w14:paraId="76B61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7" w:type="dxa"/>
            <w:shd w:val="clear" w:color="auto" w:fill="auto"/>
            <w:vAlign w:val="center"/>
          </w:tcPr>
          <w:p w14:paraId="439FA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92" w:type="dxa"/>
            <w:shd w:val="clear" w:color="auto" w:fill="auto"/>
            <w:vAlign w:val="center"/>
          </w:tcPr>
          <w:p w14:paraId="5F031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22" w:type="dxa"/>
            <w:gridSpan w:val="2"/>
            <w:shd w:val="clear" w:color="auto" w:fill="auto"/>
            <w:vAlign w:val="center"/>
          </w:tcPr>
          <w:p w14:paraId="14C6C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2" w:type="dxa"/>
            <w:gridSpan w:val="2"/>
            <w:shd w:val="clear" w:color="auto" w:fill="auto"/>
            <w:vAlign w:val="center"/>
          </w:tcPr>
          <w:p w14:paraId="29CE6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4" w:type="dxa"/>
            <w:shd w:val="clear" w:color="auto" w:fill="auto"/>
            <w:vAlign w:val="center"/>
          </w:tcPr>
          <w:p w14:paraId="6F348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9EEE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0" w:type="dxa"/>
            <w:gridSpan w:val="2"/>
            <w:vMerge w:val="continue"/>
            <w:vAlign w:val="center"/>
          </w:tcPr>
          <w:p w14:paraId="095C693D">
            <w:pPr>
              <w:widowControl/>
              <w:jc w:val="left"/>
              <w:rPr>
                <w:rFonts w:hint="eastAsia" w:ascii="宋体" w:hAnsi="宋体" w:cs="宋体"/>
                <w:color w:val="000000"/>
                <w:kern w:val="0"/>
                <w:sz w:val="20"/>
                <w:szCs w:val="20"/>
              </w:rPr>
            </w:pPr>
          </w:p>
        </w:tc>
        <w:tc>
          <w:tcPr>
            <w:tcW w:w="1013" w:type="dxa"/>
            <w:shd w:val="clear" w:color="auto" w:fill="auto"/>
            <w:vAlign w:val="center"/>
          </w:tcPr>
          <w:p w14:paraId="393DF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shd w:val="clear" w:color="auto" w:fill="auto"/>
            <w:vAlign w:val="center"/>
          </w:tcPr>
          <w:p w14:paraId="18DE3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61.29</w:t>
            </w:r>
          </w:p>
        </w:tc>
        <w:tc>
          <w:tcPr>
            <w:tcW w:w="1557" w:type="dxa"/>
            <w:shd w:val="clear" w:color="auto" w:fill="auto"/>
            <w:vAlign w:val="center"/>
          </w:tcPr>
          <w:p w14:paraId="2032F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61.29</w:t>
            </w:r>
          </w:p>
        </w:tc>
        <w:tc>
          <w:tcPr>
            <w:tcW w:w="1392" w:type="dxa"/>
            <w:shd w:val="clear" w:color="auto" w:fill="auto"/>
            <w:vAlign w:val="center"/>
          </w:tcPr>
          <w:p w14:paraId="5F35F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61.29</w:t>
            </w:r>
          </w:p>
        </w:tc>
        <w:tc>
          <w:tcPr>
            <w:tcW w:w="722" w:type="dxa"/>
            <w:gridSpan w:val="2"/>
            <w:shd w:val="clear" w:color="auto" w:fill="auto"/>
            <w:vAlign w:val="center"/>
          </w:tcPr>
          <w:p w14:paraId="353B2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2" w:type="dxa"/>
            <w:gridSpan w:val="2"/>
            <w:shd w:val="clear" w:color="auto" w:fill="auto"/>
            <w:vAlign w:val="center"/>
          </w:tcPr>
          <w:p w14:paraId="38529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4" w:type="dxa"/>
            <w:shd w:val="clear" w:color="auto" w:fill="auto"/>
            <w:vAlign w:val="center"/>
          </w:tcPr>
          <w:p w14:paraId="5327D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235B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0" w:type="dxa"/>
            <w:gridSpan w:val="2"/>
            <w:vMerge w:val="continue"/>
            <w:vAlign w:val="center"/>
          </w:tcPr>
          <w:p w14:paraId="1E072292">
            <w:pPr>
              <w:widowControl/>
              <w:jc w:val="left"/>
              <w:rPr>
                <w:rFonts w:hint="eastAsia" w:ascii="宋体" w:hAnsi="宋体" w:cs="宋体"/>
                <w:color w:val="000000"/>
                <w:kern w:val="0"/>
                <w:sz w:val="20"/>
                <w:szCs w:val="20"/>
              </w:rPr>
            </w:pPr>
          </w:p>
        </w:tc>
        <w:tc>
          <w:tcPr>
            <w:tcW w:w="1013" w:type="dxa"/>
            <w:shd w:val="clear" w:color="auto" w:fill="auto"/>
            <w:vAlign w:val="center"/>
          </w:tcPr>
          <w:p w14:paraId="12C60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shd w:val="clear" w:color="auto" w:fill="auto"/>
            <w:vAlign w:val="center"/>
          </w:tcPr>
          <w:p w14:paraId="51306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61.29</w:t>
            </w:r>
          </w:p>
        </w:tc>
        <w:tc>
          <w:tcPr>
            <w:tcW w:w="1557" w:type="dxa"/>
            <w:shd w:val="clear" w:color="auto" w:fill="auto"/>
            <w:vAlign w:val="center"/>
          </w:tcPr>
          <w:p w14:paraId="4A208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61.29</w:t>
            </w:r>
          </w:p>
        </w:tc>
        <w:tc>
          <w:tcPr>
            <w:tcW w:w="1392" w:type="dxa"/>
            <w:shd w:val="clear" w:color="auto" w:fill="auto"/>
            <w:vAlign w:val="center"/>
          </w:tcPr>
          <w:p w14:paraId="5C4CF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61.29</w:t>
            </w:r>
          </w:p>
        </w:tc>
        <w:tc>
          <w:tcPr>
            <w:tcW w:w="722" w:type="dxa"/>
            <w:gridSpan w:val="2"/>
            <w:shd w:val="clear" w:color="auto" w:fill="auto"/>
            <w:vAlign w:val="center"/>
          </w:tcPr>
          <w:p w14:paraId="0FB72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2" w:type="dxa"/>
            <w:gridSpan w:val="2"/>
            <w:shd w:val="clear" w:color="auto" w:fill="auto"/>
            <w:vAlign w:val="center"/>
          </w:tcPr>
          <w:p w14:paraId="00249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shd w:val="clear" w:color="auto" w:fill="auto"/>
            <w:vAlign w:val="center"/>
          </w:tcPr>
          <w:p w14:paraId="15F3B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0348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0" w:type="dxa"/>
            <w:gridSpan w:val="2"/>
            <w:vMerge w:val="continue"/>
            <w:vAlign w:val="center"/>
          </w:tcPr>
          <w:p w14:paraId="25F93D26">
            <w:pPr>
              <w:widowControl/>
              <w:jc w:val="left"/>
              <w:rPr>
                <w:rFonts w:hint="eastAsia" w:ascii="宋体" w:hAnsi="宋体" w:cs="宋体"/>
                <w:color w:val="000000"/>
                <w:kern w:val="0"/>
                <w:sz w:val="20"/>
                <w:szCs w:val="20"/>
              </w:rPr>
            </w:pPr>
          </w:p>
        </w:tc>
        <w:tc>
          <w:tcPr>
            <w:tcW w:w="1013" w:type="dxa"/>
            <w:shd w:val="clear" w:color="auto" w:fill="auto"/>
            <w:vAlign w:val="center"/>
          </w:tcPr>
          <w:p w14:paraId="65AB904D">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278" w:type="dxa"/>
            <w:shd w:val="clear" w:color="auto" w:fill="auto"/>
            <w:vAlign w:val="center"/>
          </w:tcPr>
          <w:p w14:paraId="01CBCE5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57" w:type="dxa"/>
            <w:shd w:val="clear" w:color="auto" w:fill="auto"/>
            <w:vAlign w:val="center"/>
          </w:tcPr>
          <w:p w14:paraId="02B7967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92" w:type="dxa"/>
            <w:shd w:val="clear" w:color="auto" w:fill="auto"/>
            <w:vAlign w:val="center"/>
          </w:tcPr>
          <w:p w14:paraId="5813B87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22" w:type="dxa"/>
            <w:gridSpan w:val="2"/>
            <w:shd w:val="clear" w:color="auto" w:fill="auto"/>
            <w:vAlign w:val="center"/>
          </w:tcPr>
          <w:p w14:paraId="07993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2" w:type="dxa"/>
            <w:gridSpan w:val="2"/>
            <w:shd w:val="clear" w:color="auto" w:fill="auto"/>
            <w:vAlign w:val="center"/>
          </w:tcPr>
          <w:p w14:paraId="1CD6E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4" w:type="dxa"/>
            <w:shd w:val="clear" w:color="auto" w:fill="auto"/>
            <w:vAlign w:val="center"/>
          </w:tcPr>
          <w:p w14:paraId="7B52B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D670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5" w:type="dxa"/>
            <w:vMerge w:val="restart"/>
            <w:shd w:val="clear" w:color="auto" w:fill="auto"/>
            <w:vAlign w:val="center"/>
          </w:tcPr>
          <w:p w14:paraId="69AA2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63" w:type="dxa"/>
            <w:gridSpan w:val="4"/>
            <w:shd w:val="clear" w:color="auto" w:fill="auto"/>
            <w:vAlign w:val="center"/>
          </w:tcPr>
          <w:p w14:paraId="3F81C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40" w:type="dxa"/>
            <w:gridSpan w:val="6"/>
            <w:shd w:val="clear" w:color="auto" w:fill="auto"/>
            <w:vAlign w:val="center"/>
          </w:tcPr>
          <w:p w14:paraId="71D75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45E2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trPr>
        <w:tc>
          <w:tcPr>
            <w:tcW w:w="415" w:type="dxa"/>
            <w:vMerge w:val="continue"/>
            <w:vAlign w:val="center"/>
          </w:tcPr>
          <w:p w14:paraId="25D907E0">
            <w:pPr>
              <w:widowControl/>
              <w:jc w:val="left"/>
              <w:rPr>
                <w:rFonts w:hint="eastAsia" w:ascii="宋体" w:hAnsi="宋体" w:cs="宋体"/>
                <w:color w:val="000000"/>
                <w:kern w:val="0"/>
                <w:sz w:val="20"/>
                <w:szCs w:val="20"/>
              </w:rPr>
            </w:pPr>
          </w:p>
        </w:tc>
        <w:tc>
          <w:tcPr>
            <w:tcW w:w="4263" w:type="dxa"/>
            <w:gridSpan w:val="4"/>
            <w:shd w:val="clear" w:color="auto" w:fill="auto"/>
          </w:tcPr>
          <w:p w14:paraId="120FED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w:t>
            </w:r>
            <w:r>
              <w:rPr>
                <w:rFonts w:hint="eastAsia" w:ascii="宋体" w:hAnsi="宋体" w:cs="宋体"/>
                <w:color w:val="000000"/>
                <w:kern w:val="0"/>
                <w:sz w:val="20"/>
                <w:szCs w:val="20"/>
                <w:lang w:eastAsia="zh-CN"/>
              </w:rPr>
              <w:t>〔2022〕35号</w:t>
            </w:r>
            <w:r>
              <w:rPr>
                <w:rFonts w:hint="eastAsia" w:ascii="宋体" w:hAnsi="宋体" w:cs="宋体"/>
                <w:color w:val="000000"/>
                <w:kern w:val="0"/>
                <w:sz w:val="20"/>
                <w:szCs w:val="20"/>
              </w:rPr>
              <w:t>文件，木垒县团委计划发放大学生志愿者服务西部计划新疆专项志愿者工作生活补贴</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办理志愿者基本养老及基本医疗保险</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为志愿者更好</w:t>
            </w:r>
            <w:r>
              <w:rPr>
                <w:rFonts w:hint="eastAsia" w:ascii="宋体" w:hAnsi="宋体" w:cs="宋体"/>
                <w:color w:val="000000"/>
                <w:kern w:val="0"/>
                <w:sz w:val="20"/>
                <w:szCs w:val="20"/>
                <w:lang w:eastAsia="zh-CN"/>
              </w:rPr>
              <w:t>地</w:t>
            </w:r>
            <w:r>
              <w:rPr>
                <w:rFonts w:hint="eastAsia" w:ascii="宋体" w:hAnsi="宋体" w:cs="宋体"/>
                <w:color w:val="000000"/>
                <w:kern w:val="0"/>
                <w:sz w:val="20"/>
                <w:szCs w:val="20"/>
              </w:rPr>
              <w:t>在新疆开展志愿服务提供有力保障</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大学生</w:t>
            </w:r>
            <w:r>
              <w:rPr>
                <w:rFonts w:hint="eastAsia" w:ascii="宋体" w:hAnsi="宋体" w:cs="宋体"/>
                <w:color w:val="000000"/>
                <w:kern w:val="0"/>
                <w:sz w:val="20"/>
                <w:szCs w:val="20"/>
                <w:lang w:eastAsia="zh-CN"/>
              </w:rPr>
              <w:t>志愿</w:t>
            </w:r>
            <w:r>
              <w:rPr>
                <w:rFonts w:hint="eastAsia" w:ascii="宋体" w:hAnsi="宋体" w:cs="宋体"/>
                <w:color w:val="000000"/>
                <w:kern w:val="0"/>
                <w:sz w:val="20"/>
                <w:szCs w:val="20"/>
              </w:rPr>
              <w:t>服务西部计划服务领域不断拓展</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管理服务进一步完善</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社会各界广泛关注</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有效服务大局、服务社会、服务青年，为新疆社会稳定和长治久安贡献力量。</w:t>
            </w:r>
          </w:p>
        </w:tc>
        <w:tc>
          <w:tcPr>
            <w:tcW w:w="3740" w:type="dxa"/>
            <w:gridSpan w:val="6"/>
            <w:shd w:val="clear" w:color="auto" w:fill="auto"/>
          </w:tcPr>
          <w:p w14:paraId="08237C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截至本次</w:t>
            </w:r>
            <w:r>
              <w:rPr>
                <w:rFonts w:hint="eastAsia" w:ascii="宋体" w:hAnsi="宋体" w:cs="宋体"/>
                <w:color w:val="000000"/>
                <w:kern w:val="0"/>
                <w:sz w:val="20"/>
                <w:szCs w:val="20"/>
              </w:rPr>
              <w:t>自评已完成：木垒县团委发放了22名大学生志愿者工作生活补贴、艰苦地区津贴、交通补贴</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办理了22名志愿者基本养老及基本医疗保险</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为志愿者更好</w:t>
            </w:r>
            <w:r>
              <w:rPr>
                <w:rFonts w:hint="eastAsia" w:ascii="宋体" w:hAnsi="宋体" w:cs="宋体"/>
                <w:color w:val="000000"/>
                <w:kern w:val="0"/>
                <w:sz w:val="20"/>
                <w:szCs w:val="20"/>
                <w:lang w:eastAsia="zh-CN"/>
              </w:rPr>
              <w:t>地</w:t>
            </w:r>
            <w:r>
              <w:rPr>
                <w:rFonts w:hint="eastAsia" w:ascii="宋体" w:hAnsi="宋体" w:cs="宋体"/>
                <w:color w:val="000000"/>
                <w:kern w:val="0"/>
                <w:sz w:val="20"/>
                <w:szCs w:val="20"/>
              </w:rPr>
              <w:t>在新疆开展志愿服务提供了有力保障</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大学生</w:t>
            </w:r>
            <w:r>
              <w:rPr>
                <w:rFonts w:hint="eastAsia" w:ascii="宋体" w:hAnsi="宋体" w:cs="宋体"/>
                <w:color w:val="000000"/>
                <w:kern w:val="0"/>
                <w:sz w:val="20"/>
                <w:szCs w:val="20"/>
                <w:lang w:eastAsia="zh-CN"/>
              </w:rPr>
              <w:t>志愿</w:t>
            </w:r>
            <w:r>
              <w:rPr>
                <w:rFonts w:hint="eastAsia" w:ascii="宋体" w:hAnsi="宋体" w:cs="宋体"/>
                <w:color w:val="000000"/>
                <w:kern w:val="0"/>
                <w:sz w:val="20"/>
                <w:szCs w:val="20"/>
              </w:rPr>
              <w:t>服务西部计划服务领域不断拓展</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管理服务进一步得到了完善</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社会各界广泛关注</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有效服务大局、服务社会、服务青年，为新疆社会稳定和长治久安贡献力量。</w:t>
            </w:r>
          </w:p>
        </w:tc>
      </w:tr>
      <w:tr w14:paraId="50D4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5" w:type="dxa"/>
            <w:vMerge w:val="restart"/>
            <w:shd w:val="clear" w:color="auto" w:fill="auto"/>
            <w:vAlign w:val="center"/>
          </w:tcPr>
          <w:p w14:paraId="3AC9EBF7">
            <w:pPr>
              <w:widowControl/>
              <w:jc w:val="center"/>
              <w:rPr>
                <w:rFonts w:hint="eastAsia" w:ascii="宋体" w:hAnsi="宋体" w:cs="宋体"/>
                <w:color w:val="000000"/>
                <w:kern w:val="0"/>
                <w:sz w:val="20"/>
                <w:szCs w:val="20"/>
              </w:rPr>
            </w:pPr>
          </w:p>
        </w:tc>
        <w:tc>
          <w:tcPr>
            <w:tcW w:w="415" w:type="dxa"/>
            <w:vMerge w:val="restart"/>
            <w:shd w:val="clear" w:color="auto" w:fill="auto"/>
            <w:vAlign w:val="center"/>
          </w:tcPr>
          <w:p w14:paraId="6F6E39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13" w:type="dxa"/>
            <w:vMerge w:val="restart"/>
            <w:shd w:val="clear" w:color="auto" w:fill="auto"/>
            <w:vAlign w:val="center"/>
          </w:tcPr>
          <w:p w14:paraId="72980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8" w:type="dxa"/>
            <w:vMerge w:val="restart"/>
            <w:shd w:val="clear" w:color="auto" w:fill="auto"/>
            <w:vAlign w:val="center"/>
          </w:tcPr>
          <w:p w14:paraId="4CEDB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557" w:type="dxa"/>
            <w:vMerge w:val="restart"/>
            <w:shd w:val="clear" w:color="auto" w:fill="auto"/>
            <w:vAlign w:val="center"/>
          </w:tcPr>
          <w:p w14:paraId="55E47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92" w:type="dxa"/>
            <w:vMerge w:val="restart"/>
            <w:shd w:val="clear" w:color="auto" w:fill="auto"/>
            <w:vAlign w:val="center"/>
          </w:tcPr>
          <w:p w14:paraId="37DD2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6" w:type="dxa"/>
            <w:vMerge w:val="restart"/>
            <w:shd w:val="clear" w:color="auto" w:fill="auto"/>
            <w:vAlign w:val="center"/>
          </w:tcPr>
          <w:p w14:paraId="3B6CC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64" w:type="dxa"/>
            <w:gridSpan w:val="2"/>
            <w:vMerge w:val="restart"/>
            <w:shd w:val="clear" w:color="auto" w:fill="auto"/>
            <w:vAlign w:val="center"/>
          </w:tcPr>
          <w:p w14:paraId="57A48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8" w:type="dxa"/>
            <w:gridSpan w:val="2"/>
            <w:vMerge w:val="restart"/>
            <w:shd w:val="clear" w:color="auto" w:fill="auto"/>
            <w:vAlign w:val="center"/>
          </w:tcPr>
          <w:p w14:paraId="5E67D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B544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5" w:type="dxa"/>
            <w:vMerge w:val="continue"/>
            <w:vAlign w:val="center"/>
          </w:tcPr>
          <w:p w14:paraId="7C1B8D0B">
            <w:pPr>
              <w:widowControl/>
              <w:jc w:val="left"/>
              <w:rPr>
                <w:rFonts w:hint="eastAsia" w:ascii="宋体" w:hAnsi="宋体" w:cs="宋体"/>
                <w:color w:val="000000"/>
                <w:kern w:val="0"/>
                <w:sz w:val="20"/>
                <w:szCs w:val="20"/>
              </w:rPr>
            </w:pPr>
          </w:p>
        </w:tc>
        <w:tc>
          <w:tcPr>
            <w:tcW w:w="415" w:type="dxa"/>
            <w:vMerge w:val="continue"/>
            <w:vAlign w:val="center"/>
          </w:tcPr>
          <w:p w14:paraId="47FEE4F8">
            <w:pPr>
              <w:widowControl/>
              <w:jc w:val="left"/>
              <w:rPr>
                <w:rFonts w:hint="eastAsia" w:ascii="宋体" w:hAnsi="宋体" w:cs="宋体"/>
                <w:color w:val="000000"/>
                <w:kern w:val="0"/>
                <w:sz w:val="20"/>
                <w:szCs w:val="20"/>
              </w:rPr>
            </w:pPr>
          </w:p>
        </w:tc>
        <w:tc>
          <w:tcPr>
            <w:tcW w:w="1013" w:type="dxa"/>
            <w:vMerge w:val="continue"/>
            <w:vAlign w:val="center"/>
          </w:tcPr>
          <w:p w14:paraId="18A2CF3E">
            <w:pPr>
              <w:widowControl/>
              <w:jc w:val="left"/>
              <w:rPr>
                <w:rFonts w:hint="eastAsia" w:ascii="宋体" w:hAnsi="宋体" w:cs="宋体"/>
                <w:color w:val="000000"/>
                <w:kern w:val="0"/>
                <w:sz w:val="20"/>
                <w:szCs w:val="20"/>
              </w:rPr>
            </w:pPr>
          </w:p>
        </w:tc>
        <w:tc>
          <w:tcPr>
            <w:tcW w:w="1278" w:type="dxa"/>
            <w:vMerge w:val="continue"/>
            <w:vAlign w:val="center"/>
          </w:tcPr>
          <w:p w14:paraId="38F54C80">
            <w:pPr>
              <w:widowControl/>
              <w:jc w:val="left"/>
              <w:rPr>
                <w:rFonts w:hint="eastAsia" w:ascii="宋体" w:hAnsi="宋体" w:cs="宋体"/>
                <w:color w:val="000000"/>
                <w:kern w:val="0"/>
                <w:sz w:val="20"/>
                <w:szCs w:val="20"/>
              </w:rPr>
            </w:pPr>
          </w:p>
        </w:tc>
        <w:tc>
          <w:tcPr>
            <w:tcW w:w="1557" w:type="dxa"/>
            <w:vMerge w:val="continue"/>
            <w:vAlign w:val="center"/>
          </w:tcPr>
          <w:p w14:paraId="35848F36">
            <w:pPr>
              <w:widowControl/>
              <w:jc w:val="left"/>
              <w:rPr>
                <w:rFonts w:hint="eastAsia" w:ascii="宋体" w:hAnsi="宋体" w:cs="宋体"/>
                <w:color w:val="000000"/>
                <w:kern w:val="0"/>
                <w:sz w:val="20"/>
                <w:szCs w:val="20"/>
              </w:rPr>
            </w:pPr>
          </w:p>
        </w:tc>
        <w:tc>
          <w:tcPr>
            <w:tcW w:w="1392" w:type="dxa"/>
            <w:vMerge w:val="continue"/>
            <w:vAlign w:val="center"/>
          </w:tcPr>
          <w:p w14:paraId="3976D3BF">
            <w:pPr>
              <w:widowControl/>
              <w:jc w:val="left"/>
              <w:rPr>
                <w:rFonts w:hint="eastAsia" w:ascii="宋体" w:hAnsi="宋体" w:cs="宋体"/>
                <w:color w:val="000000"/>
                <w:kern w:val="0"/>
                <w:sz w:val="20"/>
                <w:szCs w:val="20"/>
              </w:rPr>
            </w:pPr>
          </w:p>
        </w:tc>
        <w:tc>
          <w:tcPr>
            <w:tcW w:w="516" w:type="dxa"/>
            <w:vMerge w:val="continue"/>
            <w:vAlign w:val="center"/>
          </w:tcPr>
          <w:p w14:paraId="1EA62B05">
            <w:pPr>
              <w:widowControl/>
              <w:jc w:val="left"/>
              <w:rPr>
                <w:rFonts w:hint="eastAsia" w:ascii="宋体" w:hAnsi="宋体" w:cs="宋体"/>
                <w:color w:val="000000"/>
                <w:kern w:val="0"/>
                <w:sz w:val="20"/>
                <w:szCs w:val="20"/>
              </w:rPr>
            </w:pPr>
          </w:p>
        </w:tc>
        <w:tc>
          <w:tcPr>
            <w:tcW w:w="664" w:type="dxa"/>
            <w:gridSpan w:val="2"/>
            <w:vMerge w:val="continue"/>
            <w:vAlign w:val="center"/>
          </w:tcPr>
          <w:p w14:paraId="67CD101E">
            <w:pPr>
              <w:widowControl/>
              <w:jc w:val="left"/>
              <w:rPr>
                <w:rFonts w:hint="eastAsia" w:ascii="宋体" w:hAnsi="宋体" w:cs="宋体"/>
                <w:color w:val="000000"/>
                <w:kern w:val="0"/>
                <w:sz w:val="20"/>
                <w:szCs w:val="20"/>
              </w:rPr>
            </w:pPr>
          </w:p>
        </w:tc>
        <w:tc>
          <w:tcPr>
            <w:tcW w:w="1168" w:type="dxa"/>
            <w:gridSpan w:val="2"/>
            <w:vMerge w:val="continue"/>
            <w:vAlign w:val="center"/>
          </w:tcPr>
          <w:p w14:paraId="40F03CAB">
            <w:pPr>
              <w:widowControl/>
              <w:jc w:val="left"/>
              <w:rPr>
                <w:rFonts w:hint="eastAsia" w:ascii="宋体" w:hAnsi="宋体" w:cs="宋体"/>
                <w:color w:val="000000"/>
                <w:kern w:val="0"/>
                <w:sz w:val="20"/>
                <w:szCs w:val="20"/>
              </w:rPr>
            </w:pPr>
          </w:p>
        </w:tc>
      </w:tr>
      <w:tr w14:paraId="40945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5" w:type="dxa"/>
            <w:vMerge w:val="restart"/>
            <w:shd w:val="clear" w:color="auto" w:fill="auto"/>
            <w:vAlign w:val="center"/>
          </w:tcPr>
          <w:p w14:paraId="4BA51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5" w:type="dxa"/>
            <w:vMerge w:val="restart"/>
            <w:shd w:val="clear" w:color="auto" w:fill="auto"/>
            <w:vAlign w:val="center"/>
          </w:tcPr>
          <w:p w14:paraId="17C40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13" w:type="dxa"/>
            <w:shd w:val="clear" w:color="auto" w:fill="auto"/>
            <w:vAlign w:val="center"/>
          </w:tcPr>
          <w:p w14:paraId="56096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8" w:type="dxa"/>
            <w:shd w:val="clear" w:color="auto" w:fill="auto"/>
            <w:noWrap/>
            <w:vAlign w:val="center"/>
          </w:tcPr>
          <w:p w14:paraId="4153FD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发放志愿者工作生活补贴人数</w:t>
            </w:r>
          </w:p>
        </w:tc>
        <w:tc>
          <w:tcPr>
            <w:tcW w:w="1557" w:type="dxa"/>
            <w:shd w:val="clear" w:color="auto" w:fill="auto"/>
            <w:vAlign w:val="center"/>
          </w:tcPr>
          <w:p w14:paraId="4E213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&gt;=22人</w:t>
            </w:r>
          </w:p>
        </w:tc>
        <w:tc>
          <w:tcPr>
            <w:tcW w:w="1392" w:type="dxa"/>
            <w:shd w:val="clear" w:color="auto" w:fill="auto"/>
            <w:vAlign w:val="center"/>
          </w:tcPr>
          <w:p w14:paraId="6BFF8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=22人</w:t>
            </w:r>
          </w:p>
        </w:tc>
        <w:tc>
          <w:tcPr>
            <w:tcW w:w="516" w:type="dxa"/>
            <w:shd w:val="clear" w:color="auto" w:fill="auto"/>
            <w:vAlign w:val="center"/>
          </w:tcPr>
          <w:p w14:paraId="44AFA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shd w:val="clear" w:color="auto" w:fill="auto"/>
            <w:vAlign w:val="center"/>
          </w:tcPr>
          <w:p w14:paraId="20D3E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8" w:type="dxa"/>
            <w:gridSpan w:val="2"/>
            <w:shd w:val="clear" w:color="auto" w:fill="auto"/>
            <w:vAlign w:val="center"/>
          </w:tcPr>
          <w:p w14:paraId="7C64C2DB">
            <w:pPr>
              <w:widowControl/>
              <w:jc w:val="center"/>
              <w:rPr>
                <w:rFonts w:hint="eastAsia" w:ascii="宋体" w:hAnsi="宋体" w:cs="宋体"/>
                <w:color w:val="000000"/>
                <w:kern w:val="0"/>
                <w:sz w:val="20"/>
                <w:szCs w:val="20"/>
              </w:rPr>
            </w:pPr>
          </w:p>
        </w:tc>
      </w:tr>
      <w:tr w14:paraId="70604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5" w:type="dxa"/>
            <w:vMerge w:val="continue"/>
            <w:vAlign w:val="center"/>
          </w:tcPr>
          <w:p w14:paraId="15B23800">
            <w:pPr>
              <w:widowControl/>
              <w:jc w:val="left"/>
              <w:rPr>
                <w:rFonts w:hint="eastAsia" w:ascii="宋体" w:hAnsi="宋体" w:cs="宋体"/>
                <w:color w:val="000000"/>
                <w:kern w:val="0"/>
                <w:sz w:val="20"/>
                <w:szCs w:val="20"/>
              </w:rPr>
            </w:pPr>
          </w:p>
        </w:tc>
        <w:tc>
          <w:tcPr>
            <w:tcW w:w="415" w:type="dxa"/>
            <w:vMerge w:val="continue"/>
            <w:vAlign w:val="center"/>
          </w:tcPr>
          <w:p w14:paraId="711B20FA">
            <w:pPr>
              <w:widowControl/>
              <w:jc w:val="left"/>
              <w:rPr>
                <w:rFonts w:hint="eastAsia" w:ascii="宋体" w:hAnsi="宋体" w:cs="宋体"/>
                <w:color w:val="000000"/>
                <w:kern w:val="0"/>
                <w:sz w:val="20"/>
                <w:szCs w:val="20"/>
              </w:rPr>
            </w:pPr>
          </w:p>
        </w:tc>
        <w:tc>
          <w:tcPr>
            <w:tcW w:w="1013" w:type="dxa"/>
            <w:shd w:val="clear" w:color="auto" w:fill="auto"/>
            <w:vAlign w:val="center"/>
          </w:tcPr>
          <w:p w14:paraId="38CD1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8" w:type="dxa"/>
            <w:shd w:val="clear" w:color="auto" w:fill="auto"/>
            <w:noWrap/>
            <w:vAlign w:val="center"/>
          </w:tcPr>
          <w:p w14:paraId="2E8058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发放志愿者艰苦地区津贴人数</w:t>
            </w:r>
          </w:p>
        </w:tc>
        <w:tc>
          <w:tcPr>
            <w:tcW w:w="1557" w:type="dxa"/>
            <w:shd w:val="clear" w:color="auto" w:fill="auto"/>
            <w:vAlign w:val="center"/>
          </w:tcPr>
          <w:p w14:paraId="0CCA8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&gt;=22人</w:t>
            </w:r>
          </w:p>
        </w:tc>
        <w:tc>
          <w:tcPr>
            <w:tcW w:w="1392" w:type="dxa"/>
            <w:shd w:val="clear" w:color="auto" w:fill="auto"/>
            <w:vAlign w:val="center"/>
          </w:tcPr>
          <w:p w14:paraId="51DEA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=22人</w:t>
            </w:r>
          </w:p>
        </w:tc>
        <w:tc>
          <w:tcPr>
            <w:tcW w:w="516" w:type="dxa"/>
            <w:shd w:val="clear" w:color="auto" w:fill="auto"/>
            <w:vAlign w:val="center"/>
          </w:tcPr>
          <w:p w14:paraId="64B07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shd w:val="clear" w:color="auto" w:fill="auto"/>
            <w:vAlign w:val="center"/>
          </w:tcPr>
          <w:p w14:paraId="62108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8" w:type="dxa"/>
            <w:gridSpan w:val="2"/>
            <w:shd w:val="clear" w:color="auto" w:fill="auto"/>
            <w:vAlign w:val="center"/>
          </w:tcPr>
          <w:p w14:paraId="2FABE441">
            <w:pPr>
              <w:widowControl/>
              <w:jc w:val="center"/>
              <w:rPr>
                <w:rFonts w:hint="eastAsia" w:ascii="宋体" w:hAnsi="宋体" w:cs="宋体"/>
                <w:color w:val="000000"/>
                <w:kern w:val="0"/>
                <w:sz w:val="20"/>
                <w:szCs w:val="20"/>
              </w:rPr>
            </w:pPr>
          </w:p>
        </w:tc>
      </w:tr>
      <w:tr w14:paraId="1CA1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5" w:type="dxa"/>
            <w:vMerge w:val="continue"/>
            <w:vAlign w:val="center"/>
          </w:tcPr>
          <w:p w14:paraId="395B489D">
            <w:pPr>
              <w:widowControl/>
              <w:jc w:val="left"/>
              <w:rPr>
                <w:rFonts w:hint="eastAsia" w:ascii="宋体" w:hAnsi="宋体" w:cs="宋体"/>
                <w:color w:val="000000"/>
                <w:kern w:val="0"/>
                <w:sz w:val="20"/>
                <w:szCs w:val="20"/>
              </w:rPr>
            </w:pPr>
          </w:p>
        </w:tc>
        <w:tc>
          <w:tcPr>
            <w:tcW w:w="415" w:type="dxa"/>
            <w:vMerge w:val="continue"/>
            <w:vAlign w:val="center"/>
          </w:tcPr>
          <w:p w14:paraId="7DFD7C95">
            <w:pPr>
              <w:widowControl/>
              <w:jc w:val="left"/>
              <w:rPr>
                <w:rFonts w:hint="eastAsia" w:ascii="宋体" w:hAnsi="宋体" w:cs="宋体"/>
                <w:color w:val="000000"/>
                <w:kern w:val="0"/>
                <w:sz w:val="20"/>
                <w:szCs w:val="20"/>
              </w:rPr>
            </w:pPr>
          </w:p>
        </w:tc>
        <w:tc>
          <w:tcPr>
            <w:tcW w:w="1013" w:type="dxa"/>
            <w:shd w:val="clear" w:color="auto" w:fill="auto"/>
            <w:vAlign w:val="center"/>
          </w:tcPr>
          <w:p w14:paraId="00A16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8" w:type="dxa"/>
            <w:shd w:val="clear" w:color="auto" w:fill="auto"/>
            <w:noWrap/>
            <w:vAlign w:val="center"/>
          </w:tcPr>
          <w:p w14:paraId="49F68E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发放志愿者交通补贴人数</w:t>
            </w:r>
          </w:p>
        </w:tc>
        <w:tc>
          <w:tcPr>
            <w:tcW w:w="1557" w:type="dxa"/>
            <w:shd w:val="clear" w:color="auto" w:fill="auto"/>
            <w:vAlign w:val="center"/>
          </w:tcPr>
          <w:p w14:paraId="12D24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&gt;=22人</w:t>
            </w:r>
          </w:p>
        </w:tc>
        <w:tc>
          <w:tcPr>
            <w:tcW w:w="1392" w:type="dxa"/>
            <w:shd w:val="clear" w:color="auto" w:fill="auto"/>
            <w:vAlign w:val="center"/>
          </w:tcPr>
          <w:p w14:paraId="27E61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=22人</w:t>
            </w:r>
          </w:p>
        </w:tc>
        <w:tc>
          <w:tcPr>
            <w:tcW w:w="516" w:type="dxa"/>
            <w:shd w:val="clear" w:color="auto" w:fill="auto"/>
            <w:vAlign w:val="center"/>
          </w:tcPr>
          <w:p w14:paraId="40A5B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shd w:val="clear" w:color="auto" w:fill="auto"/>
            <w:vAlign w:val="center"/>
          </w:tcPr>
          <w:p w14:paraId="31374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8" w:type="dxa"/>
            <w:gridSpan w:val="2"/>
            <w:shd w:val="clear" w:color="auto" w:fill="auto"/>
            <w:vAlign w:val="center"/>
          </w:tcPr>
          <w:p w14:paraId="3057353B">
            <w:pPr>
              <w:widowControl/>
              <w:jc w:val="center"/>
              <w:rPr>
                <w:rFonts w:hint="eastAsia" w:ascii="宋体" w:hAnsi="宋体" w:cs="宋体"/>
                <w:color w:val="000000"/>
                <w:kern w:val="0"/>
                <w:sz w:val="20"/>
                <w:szCs w:val="20"/>
              </w:rPr>
            </w:pPr>
          </w:p>
        </w:tc>
      </w:tr>
      <w:tr w14:paraId="10358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5" w:type="dxa"/>
            <w:vMerge w:val="continue"/>
            <w:vAlign w:val="center"/>
          </w:tcPr>
          <w:p w14:paraId="083D829E">
            <w:pPr>
              <w:widowControl/>
              <w:jc w:val="left"/>
              <w:rPr>
                <w:rFonts w:hint="eastAsia" w:ascii="宋体" w:hAnsi="宋体" w:cs="宋体"/>
                <w:color w:val="000000"/>
                <w:kern w:val="0"/>
                <w:sz w:val="20"/>
                <w:szCs w:val="20"/>
              </w:rPr>
            </w:pPr>
          </w:p>
        </w:tc>
        <w:tc>
          <w:tcPr>
            <w:tcW w:w="415" w:type="dxa"/>
            <w:vMerge w:val="continue"/>
            <w:vAlign w:val="center"/>
          </w:tcPr>
          <w:p w14:paraId="3AC8ACEF">
            <w:pPr>
              <w:widowControl/>
              <w:jc w:val="left"/>
              <w:rPr>
                <w:rFonts w:hint="eastAsia" w:ascii="宋体" w:hAnsi="宋体" w:cs="宋体"/>
                <w:color w:val="000000"/>
                <w:kern w:val="0"/>
                <w:sz w:val="20"/>
                <w:szCs w:val="20"/>
              </w:rPr>
            </w:pPr>
          </w:p>
        </w:tc>
        <w:tc>
          <w:tcPr>
            <w:tcW w:w="1013" w:type="dxa"/>
            <w:shd w:val="clear" w:color="auto" w:fill="auto"/>
            <w:vAlign w:val="center"/>
          </w:tcPr>
          <w:p w14:paraId="3F9F1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8" w:type="dxa"/>
            <w:shd w:val="clear" w:color="auto" w:fill="auto"/>
            <w:noWrap/>
            <w:vAlign w:val="center"/>
          </w:tcPr>
          <w:p w14:paraId="551736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缴纳志愿者基本养老保险</w:t>
            </w:r>
          </w:p>
        </w:tc>
        <w:tc>
          <w:tcPr>
            <w:tcW w:w="1557" w:type="dxa"/>
            <w:shd w:val="clear" w:color="auto" w:fill="auto"/>
            <w:vAlign w:val="center"/>
          </w:tcPr>
          <w:p w14:paraId="768EC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&gt;=22人</w:t>
            </w:r>
          </w:p>
        </w:tc>
        <w:tc>
          <w:tcPr>
            <w:tcW w:w="1392" w:type="dxa"/>
            <w:shd w:val="clear" w:color="auto" w:fill="auto"/>
            <w:vAlign w:val="center"/>
          </w:tcPr>
          <w:p w14:paraId="5DD59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=22人</w:t>
            </w:r>
          </w:p>
        </w:tc>
        <w:tc>
          <w:tcPr>
            <w:tcW w:w="516" w:type="dxa"/>
            <w:shd w:val="clear" w:color="auto" w:fill="auto"/>
            <w:vAlign w:val="center"/>
          </w:tcPr>
          <w:p w14:paraId="6754D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shd w:val="clear" w:color="auto" w:fill="auto"/>
            <w:vAlign w:val="center"/>
          </w:tcPr>
          <w:p w14:paraId="3C290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8" w:type="dxa"/>
            <w:gridSpan w:val="2"/>
            <w:shd w:val="clear" w:color="auto" w:fill="auto"/>
            <w:vAlign w:val="center"/>
          </w:tcPr>
          <w:p w14:paraId="0DF1CC41">
            <w:pPr>
              <w:widowControl/>
              <w:jc w:val="center"/>
              <w:rPr>
                <w:rFonts w:hint="eastAsia" w:ascii="宋体" w:hAnsi="宋体" w:cs="宋体"/>
                <w:color w:val="000000"/>
                <w:kern w:val="0"/>
                <w:sz w:val="20"/>
                <w:szCs w:val="20"/>
              </w:rPr>
            </w:pPr>
          </w:p>
        </w:tc>
      </w:tr>
      <w:tr w14:paraId="18701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5" w:type="dxa"/>
            <w:vMerge w:val="continue"/>
            <w:vAlign w:val="center"/>
          </w:tcPr>
          <w:p w14:paraId="6F92729F">
            <w:pPr>
              <w:widowControl/>
              <w:jc w:val="left"/>
              <w:rPr>
                <w:rFonts w:hint="eastAsia" w:ascii="宋体" w:hAnsi="宋体" w:cs="宋体"/>
                <w:color w:val="000000"/>
                <w:kern w:val="0"/>
                <w:sz w:val="20"/>
                <w:szCs w:val="20"/>
              </w:rPr>
            </w:pPr>
          </w:p>
        </w:tc>
        <w:tc>
          <w:tcPr>
            <w:tcW w:w="415" w:type="dxa"/>
            <w:vMerge w:val="continue"/>
            <w:vAlign w:val="center"/>
          </w:tcPr>
          <w:p w14:paraId="60443B31">
            <w:pPr>
              <w:widowControl/>
              <w:jc w:val="left"/>
              <w:rPr>
                <w:rFonts w:hint="eastAsia" w:ascii="宋体" w:hAnsi="宋体" w:cs="宋体"/>
                <w:color w:val="000000"/>
                <w:kern w:val="0"/>
                <w:sz w:val="20"/>
                <w:szCs w:val="20"/>
              </w:rPr>
            </w:pPr>
          </w:p>
        </w:tc>
        <w:tc>
          <w:tcPr>
            <w:tcW w:w="1013" w:type="dxa"/>
            <w:shd w:val="clear" w:color="auto" w:fill="auto"/>
            <w:vAlign w:val="center"/>
          </w:tcPr>
          <w:p w14:paraId="349FA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8" w:type="dxa"/>
            <w:shd w:val="clear" w:color="auto" w:fill="auto"/>
            <w:noWrap/>
            <w:vAlign w:val="center"/>
          </w:tcPr>
          <w:p w14:paraId="6B4A00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缴纳志愿者基本医疗保险</w:t>
            </w:r>
          </w:p>
        </w:tc>
        <w:tc>
          <w:tcPr>
            <w:tcW w:w="1557" w:type="dxa"/>
            <w:shd w:val="clear" w:color="auto" w:fill="auto"/>
            <w:vAlign w:val="center"/>
          </w:tcPr>
          <w:p w14:paraId="1105A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&gt;=22人</w:t>
            </w:r>
          </w:p>
        </w:tc>
        <w:tc>
          <w:tcPr>
            <w:tcW w:w="1392" w:type="dxa"/>
            <w:shd w:val="clear" w:color="auto" w:fill="auto"/>
            <w:vAlign w:val="center"/>
          </w:tcPr>
          <w:p w14:paraId="20B2C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=22人</w:t>
            </w:r>
          </w:p>
        </w:tc>
        <w:tc>
          <w:tcPr>
            <w:tcW w:w="516" w:type="dxa"/>
            <w:shd w:val="clear" w:color="auto" w:fill="auto"/>
            <w:vAlign w:val="center"/>
          </w:tcPr>
          <w:p w14:paraId="05699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shd w:val="clear" w:color="auto" w:fill="auto"/>
            <w:vAlign w:val="center"/>
          </w:tcPr>
          <w:p w14:paraId="3F3BE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8" w:type="dxa"/>
            <w:gridSpan w:val="2"/>
            <w:shd w:val="clear" w:color="auto" w:fill="auto"/>
            <w:vAlign w:val="center"/>
          </w:tcPr>
          <w:p w14:paraId="795A4E05">
            <w:pPr>
              <w:widowControl/>
              <w:jc w:val="center"/>
              <w:rPr>
                <w:rFonts w:hint="eastAsia" w:ascii="宋体" w:hAnsi="宋体" w:cs="宋体"/>
                <w:color w:val="000000"/>
                <w:kern w:val="0"/>
                <w:sz w:val="20"/>
                <w:szCs w:val="20"/>
              </w:rPr>
            </w:pPr>
          </w:p>
        </w:tc>
      </w:tr>
      <w:tr w14:paraId="5C9CA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5" w:type="dxa"/>
            <w:vMerge w:val="continue"/>
            <w:vAlign w:val="center"/>
          </w:tcPr>
          <w:p w14:paraId="2073BF45">
            <w:pPr>
              <w:widowControl/>
              <w:jc w:val="left"/>
              <w:rPr>
                <w:rFonts w:hint="eastAsia" w:ascii="宋体" w:hAnsi="宋体" w:cs="宋体"/>
                <w:color w:val="000000"/>
                <w:kern w:val="0"/>
                <w:sz w:val="20"/>
                <w:szCs w:val="20"/>
              </w:rPr>
            </w:pPr>
          </w:p>
        </w:tc>
        <w:tc>
          <w:tcPr>
            <w:tcW w:w="415" w:type="dxa"/>
            <w:vMerge w:val="continue"/>
            <w:vAlign w:val="center"/>
          </w:tcPr>
          <w:p w14:paraId="137D85E6">
            <w:pPr>
              <w:widowControl/>
              <w:jc w:val="left"/>
              <w:rPr>
                <w:rFonts w:hint="eastAsia" w:ascii="宋体" w:hAnsi="宋体" w:cs="宋体"/>
                <w:color w:val="000000"/>
                <w:kern w:val="0"/>
                <w:sz w:val="20"/>
                <w:szCs w:val="20"/>
              </w:rPr>
            </w:pPr>
          </w:p>
        </w:tc>
        <w:tc>
          <w:tcPr>
            <w:tcW w:w="1013" w:type="dxa"/>
            <w:shd w:val="clear" w:color="auto" w:fill="auto"/>
            <w:vAlign w:val="center"/>
          </w:tcPr>
          <w:p w14:paraId="51867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8" w:type="dxa"/>
            <w:shd w:val="clear" w:color="auto" w:fill="auto"/>
            <w:noWrap/>
            <w:vAlign w:val="center"/>
          </w:tcPr>
          <w:p w14:paraId="2E489C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1557" w:type="dxa"/>
            <w:shd w:val="clear" w:color="auto" w:fill="auto"/>
            <w:vAlign w:val="center"/>
          </w:tcPr>
          <w:p w14:paraId="32A7C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92" w:type="dxa"/>
            <w:shd w:val="clear" w:color="auto" w:fill="auto"/>
            <w:vAlign w:val="center"/>
          </w:tcPr>
          <w:p w14:paraId="69DF1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2E396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4" w:type="dxa"/>
            <w:gridSpan w:val="2"/>
            <w:shd w:val="clear" w:color="auto" w:fill="auto"/>
            <w:vAlign w:val="center"/>
          </w:tcPr>
          <w:p w14:paraId="6AA29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8" w:type="dxa"/>
            <w:gridSpan w:val="2"/>
            <w:shd w:val="clear" w:color="auto" w:fill="auto"/>
            <w:vAlign w:val="center"/>
          </w:tcPr>
          <w:p w14:paraId="7B6E96D0">
            <w:pPr>
              <w:widowControl/>
              <w:jc w:val="center"/>
              <w:rPr>
                <w:rFonts w:hint="eastAsia" w:ascii="宋体" w:hAnsi="宋体" w:cs="宋体"/>
                <w:color w:val="000000"/>
                <w:kern w:val="0"/>
                <w:sz w:val="20"/>
                <w:szCs w:val="20"/>
              </w:rPr>
            </w:pPr>
          </w:p>
        </w:tc>
      </w:tr>
      <w:tr w14:paraId="7453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5" w:type="dxa"/>
            <w:vMerge w:val="continue"/>
            <w:vAlign w:val="center"/>
          </w:tcPr>
          <w:p w14:paraId="01AAF00F">
            <w:pPr>
              <w:widowControl/>
              <w:jc w:val="left"/>
              <w:rPr>
                <w:rFonts w:hint="eastAsia" w:ascii="宋体" w:hAnsi="宋体" w:cs="宋体"/>
                <w:color w:val="000000"/>
                <w:kern w:val="0"/>
                <w:sz w:val="20"/>
                <w:szCs w:val="20"/>
              </w:rPr>
            </w:pPr>
          </w:p>
        </w:tc>
        <w:tc>
          <w:tcPr>
            <w:tcW w:w="415" w:type="dxa"/>
            <w:vMerge w:val="continue"/>
            <w:vAlign w:val="center"/>
          </w:tcPr>
          <w:p w14:paraId="15C828D9">
            <w:pPr>
              <w:widowControl/>
              <w:jc w:val="left"/>
              <w:rPr>
                <w:rFonts w:hint="eastAsia" w:ascii="宋体" w:hAnsi="宋体" w:cs="宋体"/>
                <w:color w:val="000000"/>
                <w:kern w:val="0"/>
                <w:sz w:val="20"/>
                <w:szCs w:val="20"/>
              </w:rPr>
            </w:pPr>
          </w:p>
        </w:tc>
        <w:tc>
          <w:tcPr>
            <w:tcW w:w="1013" w:type="dxa"/>
            <w:shd w:val="clear" w:color="auto" w:fill="auto"/>
            <w:vAlign w:val="center"/>
          </w:tcPr>
          <w:p w14:paraId="3AD3C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8" w:type="dxa"/>
            <w:shd w:val="clear" w:color="auto" w:fill="auto"/>
            <w:noWrap/>
            <w:vAlign w:val="center"/>
          </w:tcPr>
          <w:p w14:paraId="694EB6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557" w:type="dxa"/>
            <w:shd w:val="clear" w:color="auto" w:fill="auto"/>
            <w:vAlign w:val="center"/>
          </w:tcPr>
          <w:p w14:paraId="0BB54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92" w:type="dxa"/>
            <w:shd w:val="clear" w:color="auto" w:fill="auto"/>
            <w:vAlign w:val="center"/>
          </w:tcPr>
          <w:p w14:paraId="44F99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37732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4" w:type="dxa"/>
            <w:gridSpan w:val="2"/>
            <w:shd w:val="clear" w:color="auto" w:fill="auto"/>
            <w:vAlign w:val="center"/>
          </w:tcPr>
          <w:p w14:paraId="58299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8" w:type="dxa"/>
            <w:gridSpan w:val="2"/>
            <w:shd w:val="clear" w:color="auto" w:fill="auto"/>
            <w:vAlign w:val="center"/>
          </w:tcPr>
          <w:p w14:paraId="4E1AC70D">
            <w:pPr>
              <w:widowControl/>
              <w:jc w:val="center"/>
              <w:rPr>
                <w:rFonts w:hint="eastAsia" w:ascii="宋体" w:hAnsi="宋体" w:cs="宋体"/>
                <w:color w:val="000000"/>
                <w:kern w:val="0"/>
                <w:sz w:val="20"/>
                <w:szCs w:val="20"/>
              </w:rPr>
            </w:pPr>
          </w:p>
        </w:tc>
      </w:tr>
      <w:tr w14:paraId="24669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5" w:type="dxa"/>
            <w:vMerge w:val="continue"/>
            <w:vAlign w:val="center"/>
          </w:tcPr>
          <w:p w14:paraId="3123935A">
            <w:pPr>
              <w:widowControl/>
              <w:jc w:val="left"/>
              <w:rPr>
                <w:rFonts w:hint="eastAsia" w:ascii="宋体" w:hAnsi="宋体" w:cs="宋体"/>
                <w:color w:val="000000"/>
                <w:kern w:val="0"/>
                <w:sz w:val="20"/>
                <w:szCs w:val="20"/>
              </w:rPr>
            </w:pPr>
          </w:p>
        </w:tc>
        <w:tc>
          <w:tcPr>
            <w:tcW w:w="415" w:type="dxa"/>
            <w:vMerge w:val="restart"/>
            <w:shd w:val="clear" w:color="auto" w:fill="auto"/>
            <w:vAlign w:val="center"/>
          </w:tcPr>
          <w:p w14:paraId="3CD8A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13" w:type="dxa"/>
            <w:shd w:val="clear" w:color="auto" w:fill="auto"/>
            <w:vAlign w:val="center"/>
          </w:tcPr>
          <w:p w14:paraId="5D90B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8" w:type="dxa"/>
            <w:shd w:val="clear" w:color="auto" w:fill="auto"/>
            <w:noWrap/>
            <w:vAlign w:val="center"/>
          </w:tcPr>
          <w:p w14:paraId="136E04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补助资金发放标准</w:t>
            </w:r>
          </w:p>
        </w:tc>
        <w:tc>
          <w:tcPr>
            <w:tcW w:w="1557" w:type="dxa"/>
            <w:shd w:val="clear" w:color="auto" w:fill="auto"/>
            <w:vAlign w:val="center"/>
          </w:tcPr>
          <w:p w14:paraId="7EBD6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=2000元/人/月</w:t>
            </w:r>
          </w:p>
        </w:tc>
        <w:tc>
          <w:tcPr>
            <w:tcW w:w="1392" w:type="dxa"/>
            <w:shd w:val="clear" w:color="auto" w:fill="auto"/>
            <w:vAlign w:val="center"/>
          </w:tcPr>
          <w:p w14:paraId="4362B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=2000元/人/月</w:t>
            </w:r>
          </w:p>
        </w:tc>
        <w:tc>
          <w:tcPr>
            <w:tcW w:w="516" w:type="dxa"/>
            <w:shd w:val="clear" w:color="auto" w:fill="auto"/>
            <w:vAlign w:val="center"/>
          </w:tcPr>
          <w:p w14:paraId="3E54A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4" w:type="dxa"/>
            <w:gridSpan w:val="2"/>
            <w:shd w:val="clear" w:color="auto" w:fill="auto"/>
            <w:vAlign w:val="center"/>
          </w:tcPr>
          <w:p w14:paraId="4FB97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8" w:type="dxa"/>
            <w:gridSpan w:val="2"/>
            <w:shd w:val="clear" w:color="auto" w:fill="auto"/>
            <w:vAlign w:val="center"/>
          </w:tcPr>
          <w:p w14:paraId="1A395460">
            <w:pPr>
              <w:widowControl/>
              <w:jc w:val="center"/>
              <w:rPr>
                <w:rFonts w:hint="eastAsia" w:ascii="宋体" w:hAnsi="宋体" w:cs="宋体"/>
                <w:color w:val="000000"/>
                <w:kern w:val="0"/>
                <w:sz w:val="20"/>
                <w:szCs w:val="20"/>
              </w:rPr>
            </w:pPr>
          </w:p>
        </w:tc>
      </w:tr>
      <w:tr w14:paraId="3EA3E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5" w:type="dxa"/>
            <w:vMerge w:val="continue"/>
            <w:vAlign w:val="center"/>
          </w:tcPr>
          <w:p w14:paraId="0E9E277C">
            <w:pPr>
              <w:widowControl/>
              <w:jc w:val="left"/>
              <w:rPr>
                <w:rFonts w:hint="eastAsia" w:ascii="宋体" w:hAnsi="宋体" w:cs="宋体"/>
                <w:color w:val="000000"/>
                <w:kern w:val="0"/>
                <w:sz w:val="20"/>
                <w:szCs w:val="20"/>
              </w:rPr>
            </w:pPr>
          </w:p>
        </w:tc>
        <w:tc>
          <w:tcPr>
            <w:tcW w:w="415" w:type="dxa"/>
            <w:vMerge w:val="continue"/>
            <w:vAlign w:val="center"/>
          </w:tcPr>
          <w:p w14:paraId="645D6F8D">
            <w:pPr>
              <w:widowControl/>
              <w:jc w:val="left"/>
              <w:rPr>
                <w:rFonts w:hint="eastAsia" w:ascii="宋体" w:hAnsi="宋体" w:cs="宋体"/>
                <w:color w:val="000000"/>
                <w:kern w:val="0"/>
                <w:sz w:val="20"/>
                <w:szCs w:val="20"/>
              </w:rPr>
            </w:pPr>
          </w:p>
        </w:tc>
        <w:tc>
          <w:tcPr>
            <w:tcW w:w="1013" w:type="dxa"/>
            <w:shd w:val="clear" w:color="auto" w:fill="auto"/>
            <w:vAlign w:val="center"/>
          </w:tcPr>
          <w:p w14:paraId="6F8D5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8" w:type="dxa"/>
            <w:shd w:val="clear" w:color="auto" w:fill="auto"/>
            <w:noWrap/>
            <w:vAlign w:val="center"/>
          </w:tcPr>
          <w:p w14:paraId="1BE442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大学生志愿者投诉率</w:t>
            </w:r>
          </w:p>
        </w:tc>
        <w:tc>
          <w:tcPr>
            <w:tcW w:w="1557" w:type="dxa"/>
            <w:shd w:val="clear" w:color="auto" w:fill="auto"/>
            <w:vAlign w:val="center"/>
          </w:tcPr>
          <w:p w14:paraId="1EE69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92" w:type="dxa"/>
            <w:shd w:val="clear" w:color="auto" w:fill="auto"/>
            <w:vAlign w:val="center"/>
          </w:tcPr>
          <w:p w14:paraId="0E8DF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14:paraId="769E7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4" w:type="dxa"/>
            <w:gridSpan w:val="2"/>
            <w:shd w:val="clear" w:color="auto" w:fill="auto"/>
            <w:vAlign w:val="center"/>
          </w:tcPr>
          <w:p w14:paraId="38226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8" w:type="dxa"/>
            <w:gridSpan w:val="2"/>
            <w:shd w:val="clear" w:color="auto" w:fill="auto"/>
            <w:vAlign w:val="center"/>
          </w:tcPr>
          <w:p w14:paraId="1B02347A">
            <w:pPr>
              <w:widowControl/>
              <w:jc w:val="center"/>
              <w:rPr>
                <w:rFonts w:hint="eastAsia" w:ascii="宋体" w:hAnsi="宋体" w:cs="宋体"/>
                <w:color w:val="000000"/>
                <w:kern w:val="0"/>
                <w:sz w:val="20"/>
                <w:szCs w:val="20"/>
              </w:rPr>
            </w:pPr>
          </w:p>
        </w:tc>
      </w:tr>
      <w:tr w14:paraId="678E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5" w:type="dxa"/>
            <w:vMerge w:val="continue"/>
            <w:vAlign w:val="center"/>
          </w:tcPr>
          <w:p w14:paraId="3117F7E9">
            <w:pPr>
              <w:widowControl/>
              <w:jc w:val="left"/>
              <w:rPr>
                <w:rFonts w:hint="eastAsia" w:ascii="宋体" w:hAnsi="宋体" w:cs="宋体"/>
                <w:color w:val="000000"/>
                <w:kern w:val="0"/>
                <w:sz w:val="20"/>
                <w:szCs w:val="20"/>
              </w:rPr>
            </w:pPr>
          </w:p>
        </w:tc>
        <w:tc>
          <w:tcPr>
            <w:tcW w:w="415" w:type="dxa"/>
            <w:shd w:val="clear" w:color="auto" w:fill="auto"/>
            <w:vAlign w:val="center"/>
          </w:tcPr>
          <w:p w14:paraId="7F8E7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13" w:type="dxa"/>
            <w:shd w:val="clear" w:color="auto" w:fill="auto"/>
            <w:vAlign w:val="center"/>
          </w:tcPr>
          <w:p w14:paraId="16A40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8" w:type="dxa"/>
            <w:shd w:val="clear" w:color="auto" w:fill="auto"/>
            <w:noWrap/>
            <w:vAlign w:val="center"/>
          </w:tcPr>
          <w:p w14:paraId="2CE9D7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大学生西部志愿者工作正常开展率</w:t>
            </w:r>
          </w:p>
        </w:tc>
        <w:tc>
          <w:tcPr>
            <w:tcW w:w="1557" w:type="dxa"/>
            <w:shd w:val="clear" w:color="auto" w:fill="auto"/>
            <w:vAlign w:val="center"/>
          </w:tcPr>
          <w:p w14:paraId="2206E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92" w:type="dxa"/>
            <w:shd w:val="clear" w:color="auto" w:fill="auto"/>
            <w:vAlign w:val="center"/>
          </w:tcPr>
          <w:p w14:paraId="7D3E5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5CC87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4" w:type="dxa"/>
            <w:gridSpan w:val="2"/>
            <w:shd w:val="clear" w:color="auto" w:fill="auto"/>
            <w:vAlign w:val="center"/>
          </w:tcPr>
          <w:p w14:paraId="1236B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8" w:type="dxa"/>
            <w:gridSpan w:val="2"/>
            <w:shd w:val="clear" w:color="auto" w:fill="auto"/>
            <w:vAlign w:val="center"/>
          </w:tcPr>
          <w:p w14:paraId="57EAD8DD">
            <w:pPr>
              <w:widowControl/>
              <w:jc w:val="center"/>
              <w:rPr>
                <w:rFonts w:hint="eastAsia" w:ascii="宋体" w:hAnsi="宋体" w:cs="宋体"/>
                <w:color w:val="000000"/>
                <w:kern w:val="0"/>
                <w:sz w:val="20"/>
                <w:szCs w:val="20"/>
              </w:rPr>
            </w:pPr>
          </w:p>
        </w:tc>
      </w:tr>
      <w:tr w14:paraId="6C378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5" w:type="dxa"/>
            <w:vMerge w:val="continue"/>
            <w:vAlign w:val="center"/>
          </w:tcPr>
          <w:p w14:paraId="5F39843E">
            <w:pPr>
              <w:widowControl/>
              <w:jc w:val="left"/>
              <w:rPr>
                <w:rFonts w:hint="eastAsia" w:ascii="宋体" w:hAnsi="宋体" w:cs="宋体"/>
                <w:color w:val="000000"/>
                <w:kern w:val="0"/>
                <w:sz w:val="20"/>
                <w:szCs w:val="20"/>
              </w:rPr>
            </w:pPr>
          </w:p>
        </w:tc>
        <w:tc>
          <w:tcPr>
            <w:tcW w:w="415" w:type="dxa"/>
            <w:shd w:val="clear" w:color="auto" w:fill="auto"/>
            <w:vAlign w:val="center"/>
          </w:tcPr>
          <w:p w14:paraId="3C932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13" w:type="dxa"/>
            <w:shd w:val="clear" w:color="auto" w:fill="auto"/>
            <w:vAlign w:val="center"/>
          </w:tcPr>
          <w:p w14:paraId="74CC5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8" w:type="dxa"/>
            <w:shd w:val="clear" w:color="auto" w:fill="auto"/>
            <w:noWrap/>
            <w:vAlign w:val="center"/>
          </w:tcPr>
          <w:p w14:paraId="5EB59C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大学生志愿者满意度</w:t>
            </w:r>
          </w:p>
        </w:tc>
        <w:tc>
          <w:tcPr>
            <w:tcW w:w="1557" w:type="dxa"/>
            <w:shd w:val="clear" w:color="auto" w:fill="auto"/>
            <w:vAlign w:val="center"/>
          </w:tcPr>
          <w:p w14:paraId="78478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92" w:type="dxa"/>
            <w:shd w:val="clear" w:color="auto" w:fill="auto"/>
            <w:vAlign w:val="center"/>
          </w:tcPr>
          <w:p w14:paraId="6C256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6" w:type="dxa"/>
            <w:shd w:val="clear" w:color="auto" w:fill="auto"/>
            <w:vAlign w:val="center"/>
          </w:tcPr>
          <w:p w14:paraId="71C8F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4" w:type="dxa"/>
            <w:gridSpan w:val="2"/>
            <w:shd w:val="clear" w:color="auto" w:fill="auto"/>
            <w:vAlign w:val="center"/>
          </w:tcPr>
          <w:p w14:paraId="450D6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8" w:type="dxa"/>
            <w:gridSpan w:val="2"/>
            <w:shd w:val="clear" w:color="auto" w:fill="auto"/>
            <w:vAlign w:val="center"/>
          </w:tcPr>
          <w:p w14:paraId="2F5BB4E5">
            <w:pPr>
              <w:widowControl/>
              <w:jc w:val="center"/>
              <w:rPr>
                <w:rFonts w:hint="eastAsia" w:ascii="宋体" w:hAnsi="宋体" w:cs="宋体"/>
                <w:color w:val="000000"/>
                <w:kern w:val="0"/>
                <w:sz w:val="20"/>
                <w:szCs w:val="20"/>
              </w:rPr>
            </w:pPr>
          </w:p>
        </w:tc>
      </w:tr>
      <w:tr w14:paraId="1F65B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070" w:type="dxa"/>
            <w:gridSpan w:val="6"/>
            <w:shd w:val="clear" w:color="auto" w:fill="auto"/>
            <w:vAlign w:val="center"/>
          </w:tcPr>
          <w:p w14:paraId="29DE9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6" w:type="dxa"/>
            <w:shd w:val="clear" w:color="auto" w:fill="auto"/>
            <w:vAlign w:val="center"/>
          </w:tcPr>
          <w:p w14:paraId="5C70D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4" w:type="dxa"/>
            <w:gridSpan w:val="2"/>
            <w:shd w:val="clear" w:color="auto" w:fill="auto"/>
            <w:vAlign w:val="center"/>
          </w:tcPr>
          <w:p w14:paraId="6FCF8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68" w:type="dxa"/>
            <w:gridSpan w:val="2"/>
            <w:shd w:val="clear" w:color="auto" w:fill="auto"/>
            <w:vAlign w:val="center"/>
          </w:tcPr>
          <w:p w14:paraId="08361F91">
            <w:pPr>
              <w:widowControl/>
              <w:jc w:val="center"/>
              <w:rPr>
                <w:rFonts w:hint="eastAsia" w:ascii="宋体" w:hAnsi="宋体" w:cs="宋体"/>
                <w:color w:val="000000"/>
                <w:kern w:val="0"/>
                <w:sz w:val="20"/>
                <w:szCs w:val="20"/>
              </w:rPr>
            </w:pPr>
          </w:p>
        </w:tc>
      </w:tr>
    </w:tbl>
    <w:p w14:paraId="1BF66F15">
      <w:pPr>
        <w:ind w:firstLine="640" w:firstLineChars="200"/>
        <w:jc w:val="left"/>
        <w:rPr>
          <w:rFonts w:hint="eastAsia" w:ascii="仿宋_GB2312" w:hAnsi="仿宋_GB2312" w:eastAsia="仿宋_GB2312" w:cs="仿宋_GB2312"/>
          <w:kern w:val="0"/>
          <w:sz w:val="32"/>
          <w:szCs w:val="32"/>
          <w:lang w:eastAsia="zh-Hans"/>
        </w:rPr>
      </w:pPr>
    </w:p>
    <w:p w14:paraId="581040EF">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297F588">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1AB31AAE">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413487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2D1255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C91BE4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E3DEE4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8EA177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7941B7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7EF2E4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DD01A1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38691B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C9108E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30F3D3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AAC42C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D8A46A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C61CC9">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74B1EDD">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7EBE7F1">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202DD25B">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8EBC3AE">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27BE9CCA">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5691BC29">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2FEC5560">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18940D9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02DAC2F6">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1D760E11">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5066C95">
      <w:pPr>
        <w:ind w:firstLine="640" w:firstLineChars="200"/>
        <w:rPr>
          <w:rFonts w:ascii="仿宋_GB2312" w:eastAsia="仿宋_GB2312"/>
          <w:sz w:val="32"/>
          <w:szCs w:val="32"/>
        </w:rPr>
      </w:pPr>
    </w:p>
    <w:p w14:paraId="728068C4">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C44E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8A0135">
                          <w:pPr>
                            <w:pStyle w:val="4"/>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38A0135">
                    <w:pPr>
                      <w:pStyle w:val="4"/>
                    </w:pPr>
                    <w:r>
                      <w:rPr>
                        <w:rFonts w:hint="eastAsia"/>
                      </w:rPr>
                      <w:fldChar w:fldCharType="begin"/>
                    </w:r>
                    <w:r>
                      <w:rPr>
                        <w:rFonts w:hint="eastAsia"/>
                      </w:rPr>
                      <w:instrText xml:space="preserve"> PAGE  \* MERGEFORMAT </w:instrText>
                    </w:r>
                    <w:r>
                      <w:rPr>
                        <w:rFonts w:hint="eastAsia"/>
                      </w:rPr>
                      <w:fldChar w:fldCharType="separate"/>
                    </w:r>
                    <w:r>
                      <w:t>17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B255A1"/>
    <w:rsid w:val="00016510"/>
    <w:rsid w:val="000A4FC4"/>
    <w:rsid w:val="00163C1D"/>
    <w:rsid w:val="00213C59"/>
    <w:rsid w:val="002B580F"/>
    <w:rsid w:val="003210CE"/>
    <w:rsid w:val="00353306"/>
    <w:rsid w:val="0039720E"/>
    <w:rsid w:val="00460AD3"/>
    <w:rsid w:val="00570710"/>
    <w:rsid w:val="00580DAA"/>
    <w:rsid w:val="00625F7A"/>
    <w:rsid w:val="00644DE9"/>
    <w:rsid w:val="0066602B"/>
    <w:rsid w:val="006E1F53"/>
    <w:rsid w:val="00730629"/>
    <w:rsid w:val="00761EEB"/>
    <w:rsid w:val="007662D6"/>
    <w:rsid w:val="009C0E9A"/>
    <w:rsid w:val="009D150A"/>
    <w:rsid w:val="00B255A1"/>
    <w:rsid w:val="00B35647"/>
    <w:rsid w:val="00B70D59"/>
    <w:rsid w:val="00BB35FE"/>
    <w:rsid w:val="00E541F5"/>
    <w:rsid w:val="00F3091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EC06941"/>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7242</Words>
  <Characters>8287</Characters>
  <Lines>68</Lines>
  <Paragraphs>19</Paragraphs>
  <TotalTime>6</TotalTime>
  <ScaleCrop>false</ScaleCrop>
  <LinksUpToDate>false</LinksUpToDate>
  <CharactersWithSpaces>8314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2024-12-05T09:46:01Z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